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A846AA" w14:textId="7DA9DF49" w:rsidR="00C7080F" w:rsidRDefault="00C7080F" w:rsidP="005E2227">
      <w:pPr>
        <w:tabs>
          <w:tab w:val="left" w:pos="2204"/>
        </w:tabs>
        <w:rPr>
          <w:rFonts w:eastAsiaTheme="majorEastAsia" w:cstheme="majorBidi"/>
          <w:b/>
          <w:color w:val="0E2841" w:themeColor="text2"/>
          <w:spacing w:val="-10"/>
          <w:kern w:val="28"/>
          <w:sz w:val="36"/>
          <w:szCs w:val="36"/>
        </w:rPr>
      </w:pPr>
      <w:bookmarkStart w:id="0" w:name="_Toc130393711"/>
      <w:r>
        <w:rPr>
          <w:rFonts w:eastAsiaTheme="majorEastAsia" w:cstheme="majorBidi"/>
          <w:b/>
          <w:color w:val="0E2841" w:themeColor="text2"/>
          <w:spacing w:val="-10"/>
          <w:kern w:val="28"/>
          <w:sz w:val="36"/>
          <w:szCs w:val="36"/>
        </w:rPr>
        <w:t>Milton Keynes College</w:t>
      </w:r>
    </w:p>
    <w:p w14:paraId="320B097D" w14:textId="6BE93844" w:rsidR="005E2227" w:rsidRPr="00D80AC5" w:rsidRDefault="005E2227" w:rsidP="005E2227">
      <w:pPr>
        <w:tabs>
          <w:tab w:val="left" w:pos="2204"/>
        </w:tabs>
        <w:rPr>
          <w:rFonts w:eastAsiaTheme="majorEastAsia" w:cstheme="majorBidi"/>
          <w:b/>
          <w:color w:val="0E2841" w:themeColor="text2"/>
          <w:spacing w:val="-10"/>
          <w:kern w:val="28"/>
          <w:sz w:val="36"/>
          <w:szCs w:val="36"/>
        </w:rPr>
      </w:pPr>
      <w:r w:rsidRPr="00D80AC5">
        <w:rPr>
          <w:rFonts w:eastAsiaTheme="majorEastAsia" w:cstheme="majorBidi"/>
          <w:b/>
          <w:color w:val="0E2841" w:themeColor="text2"/>
          <w:spacing w:val="-10"/>
          <w:kern w:val="28"/>
          <w:sz w:val="36"/>
          <w:szCs w:val="36"/>
        </w:rPr>
        <w:t xml:space="preserve">Access and participation </w:t>
      </w:r>
      <w:r>
        <w:rPr>
          <w:rFonts w:eastAsiaTheme="majorEastAsia" w:cstheme="majorBidi"/>
          <w:b/>
          <w:color w:val="0E2841" w:themeColor="text2"/>
          <w:spacing w:val="-10"/>
          <w:kern w:val="28"/>
          <w:sz w:val="36"/>
          <w:szCs w:val="36"/>
        </w:rPr>
        <w:t>statement 2026</w:t>
      </w:r>
      <w:bookmarkStart w:id="1" w:name="_Toc130393712"/>
      <w:bookmarkEnd w:id="0"/>
      <w:r w:rsidR="005C0F86">
        <w:rPr>
          <w:rFonts w:eastAsiaTheme="majorEastAsia" w:cstheme="majorBidi"/>
          <w:b/>
          <w:color w:val="0E2841" w:themeColor="text2"/>
          <w:spacing w:val="-10"/>
          <w:kern w:val="28"/>
          <w:sz w:val="36"/>
          <w:szCs w:val="36"/>
        </w:rPr>
        <w:t>-7</w:t>
      </w:r>
    </w:p>
    <w:bookmarkEnd w:id="1"/>
    <w:p w14:paraId="15F6D345" w14:textId="77777777" w:rsidR="00C57BCD" w:rsidRDefault="00C57BCD" w:rsidP="00C57BCD">
      <w:pPr>
        <w:rPr>
          <w:rFonts w:ascii="Calibri" w:hAnsi="Calibri" w:cs="Calibri"/>
          <w:color w:val="auto"/>
          <w:sz w:val="24"/>
        </w:rPr>
      </w:pPr>
    </w:p>
    <w:p w14:paraId="2C8D0765" w14:textId="4DD7F89A" w:rsidR="00C57BCD" w:rsidRPr="00836FDB" w:rsidRDefault="00C57BCD" w:rsidP="00C57BCD">
      <w:pPr>
        <w:rPr>
          <w:rFonts w:ascii="Calibri" w:hAnsi="Calibri" w:cs="Calibri"/>
          <w:color w:val="auto"/>
          <w:sz w:val="22"/>
          <w:szCs w:val="22"/>
        </w:rPr>
      </w:pPr>
      <w:r w:rsidRPr="00836FDB">
        <w:rPr>
          <w:rFonts w:ascii="Calibri" w:hAnsi="Calibri" w:cs="Calibri"/>
          <w:color w:val="auto"/>
          <w:sz w:val="22"/>
          <w:szCs w:val="22"/>
        </w:rPr>
        <w:t>At Milton Keynes College Group we are deeply connected to the communities we serve. The courses we deliver, the skills we impart, and the experiences we offer our students are shaped by our communities and a commitment to meeting local skills need and</w:t>
      </w:r>
      <w:r w:rsidR="00836FDB">
        <w:rPr>
          <w:rFonts w:ascii="Calibri" w:hAnsi="Calibri" w:cs="Calibri"/>
          <w:color w:val="auto"/>
          <w:sz w:val="22"/>
          <w:szCs w:val="22"/>
        </w:rPr>
        <w:t xml:space="preserve"> regional and</w:t>
      </w:r>
      <w:r w:rsidRPr="00836FDB">
        <w:rPr>
          <w:rFonts w:ascii="Calibri" w:hAnsi="Calibri" w:cs="Calibri"/>
          <w:color w:val="auto"/>
          <w:sz w:val="22"/>
          <w:szCs w:val="22"/>
        </w:rPr>
        <w:t xml:space="preserve"> </w:t>
      </w:r>
      <w:r w:rsidR="00836FDB">
        <w:rPr>
          <w:rFonts w:ascii="Calibri" w:hAnsi="Calibri" w:cs="Calibri"/>
          <w:color w:val="auto"/>
          <w:sz w:val="22"/>
          <w:szCs w:val="22"/>
        </w:rPr>
        <w:t>n</w:t>
      </w:r>
      <w:r w:rsidRPr="00836FDB">
        <w:rPr>
          <w:rFonts w:ascii="Calibri" w:hAnsi="Calibri" w:cs="Calibri"/>
          <w:color w:val="auto"/>
          <w:sz w:val="22"/>
          <w:szCs w:val="22"/>
        </w:rPr>
        <w:t xml:space="preserve">ational </w:t>
      </w:r>
      <w:r w:rsidR="00836FDB">
        <w:rPr>
          <w:rFonts w:ascii="Calibri" w:hAnsi="Calibri" w:cs="Calibri"/>
          <w:color w:val="auto"/>
          <w:sz w:val="22"/>
          <w:szCs w:val="22"/>
        </w:rPr>
        <w:t>s</w:t>
      </w:r>
      <w:r w:rsidRPr="00836FDB">
        <w:rPr>
          <w:rFonts w:ascii="Calibri" w:hAnsi="Calibri" w:cs="Calibri"/>
          <w:color w:val="auto"/>
          <w:sz w:val="22"/>
          <w:szCs w:val="22"/>
        </w:rPr>
        <w:t xml:space="preserve">kills </w:t>
      </w:r>
      <w:r w:rsidR="00836FDB">
        <w:rPr>
          <w:rFonts w:ascii="Calibri" w:hAnsi="Calibri" w:cs="Calibri"/>
          <w:color w:val="auto"/>
          <w:sz w:val="22"/>
          <w:szCs w:val="22"/>
        </w:rPr>
        <w:t>p</w:t>
      </w:r>
      <w:r w:rsidRPr="00836FDB">
        <w:rPr>
          <w:rFonts w:ascii="Calibri" w:hAnsi="Calibri" w:cs="Calibri"/>
          <w:color w:val="auto"/>
          <w:sz w:val="22"/>
          <w:szCs w:val="22"/>
        </w:rPr>
        <w:t>riorities.</w:t>
      </w:r>
    </w:p>
    <w:p w14:paraId="396186C8" w14:textId="77777777" w:rsidR="00C57BCD" w:rsidRPr="00836FDB" w:rsidRDefault="00C57BCD" w:rsidP="00C57BCD">
      <w:pPr>
        <w:rPr>
          <w:rFonts w:ascii="Calibri" w:hAnsi="Calibri" w:cs="Calibri"/>
          <w:color w:val="auto"/>
          <w:sz w:val="22"/>
          <w:szCs w:val="22"/>
        </w:rPr>
      </w:pPr>
    </w:p>
    <w:p w14:paraId="5C2F3BBF" w14:textId="1048F53A" w:rsidR="00C57BCD" w:rsidRPr="00836FDB" w:rsidRDefault="00C57BCD" w:rsidP="00C57BCD">
      <w:pPr>
        <w:rPr>
          <w:rStyle w:val="Strong"/>
          <w:rFonts w:cs="Calibri"/>
          <w:b w:val="0"/>
          <w:bCs w:val="0"/>
          <w:color w:val="auto"/>
          <w:sz w:val="22"/>
          <w:szCs w:val="22"/>
        </w:rPr>
      </w:pPr>
      <w:r w:rsidRPr="00836FDB">
        <w:rPr>
          <w:rStyle w:val="Strong"/>
          <w:rFonts w:cs="Calibri"/>
          <w:b w:val="0"/>
          <w:bCs w:val="0"/>
          <w:color w:val="auto"/>
          <w:sz w:val="22"/>
          <w:szCs w:val="22"/>
        </w:rPr>
        <w:t>The Milton Keynes College Group vision is to ‘use the power of education to create opportunities, champion talent, and build fairer futures.’ We do this by inspiring positive social change in the people and communities we serve through delivering exceptional learning experiences to transform lives, achieving our vision of a fairer future for all.</w:t>
      </w:r>
    </w:p>
    <w:p w14:paraId="61B0399E" w14:textId="77777777" w:rsidR="00C57BCD" w:rsidRPr="00836FDB" w:rsidRDefault="00C57BCD" w:rsidP="00C57BCD">
      <w:pPr>
        <w:rPr>
          <w:rStyle w:val="Strong"/>
          <w:rFonts w:cs="Calibri"/>
          <w:b w:val="0"/>
          <w:bCs w:val="0"/>
          <w:color w:val="auto"/>
          <w:sz w:val="22"/>
          <w:szCs w:val="22"/>
        </w:rPr>
      </w:pPr>
    </w:p>
    <w:p w14:paraId="1F5DB462" w14:textId="3913AD32" w:rsidR="00C57BCD" w:rsidRPr="00836FDB" w:rsidRDefault="00C57BCD" w:rsidP="00C57BCD">
      <w:pPr>
        <w:rPr>
          <w:rStyle w:val="Strong"/>
          <w:rFonts w:cs="Calibri"/>
          <w:b w:val="0"/>
          <w:bCs w:val="0"/>
          <w:color w:val="auto"/>
          <w:sz w:val="22"/>
          <w:szCs w:val="22"/>
        </w:rPr>
      </w:pPr>
      <w:r w:rsidRPr="00836FDB">
        <w:rPr>
          <w:rStyle w:val="Strong"/>
          <w:rFonts w:cs="Calibri"/>
          <w:b w:val="0"/>
          <w:bCs w:val="0"/>
          <w:color w:val="auto"/>
          <w:sz w:val="22"/>
          <w:szCs w:val="22"/>
        </w:rPr>
        <w:t>Milton Keynes College Group uses a strategic wheel to drive organisational level priorities.  Embedded within this wheel are nine project areas which link to our Access and Participation commitments.</w:t>
      </w:r>
    </w:p>
    <w:p w14:paraId="68DDC713" w14:textId="77777777" w:rsidR="00C57BCD" w:rsidRDefault="00C57BCD" w:rsidP="00C57BCD">
      <w:pPr>
        <w:rPr>
          <w:rStyle w:val="Strong"/>
          <w:rFonts w:cs="Calibri"/>
          <w:b w:val="0"/>
          <w:bCs w:val="0"/>
          <w:color w:val="auto"/>
          <w:sz w:val="24"/>
        </w:rPr>
      </w:pPr>
    </w:p>
    <w:p w14:paraId="621F945A" w14:textId="77777777" w:rsidR="00C57BCD" w:rsidRPr="00C57BCD" w:rsidRDefault="00C57BCD" w:rsidP="00C57BCD">
      <w:pPr>
        <w:rPr>
          <w:rStyle w:val="Strong"/>
          <w:rFonts w:cs="Calibri"/>
          <w:b w:val="0"/>
          <w:bCs w:val="0"/>
          <w:color w:val="auto"/>
          <w:sz w:val="24"/>
        </w:rPr>
      </w:pPr>
    </w:p>
    <w:p w14:paraId="1F2B1BF1" w14:textId="77777777" w:rsidR="00C57BCD" w:rsidRPr="00766A42" w:rsidRDefault="00C57BCD" w:rsidP="00C57BCD">
      <w:pPr>
        <w:rPr>
          <w:rStyle w:val="Strong"/>
          <w:rFonts w:ascii="Aptos" w:hAnsi="Aptos"/>
          <w:b w:val="0"/>
          <w:bCs w:val="0"/>
        </w:rPr>
      </w:pPr>
      <w:r w:rsidRPr="00766A42">
        <w:rPr>
          <w:rFonts w:ascii="Aptos" w:hAnsi="Aptos"/>
          <w:noProof/>
        </w:rPr>
        <w:drawing>
          <wp:inline distT="0" distB="0" distL="0" distR="0" wp14:anchorId="42CFF094" wp14:editId="3E4D26E5">
            <wp:extent cx="5591175" cy="3931416"/>
            <wp:effectExtent l="0" t="0" r="0" b="0"/>
            <wp:docPr id="2002582813" name="Picture 1" descr="A computer screen shot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2582813" name="Picture 1" descr="A computer screen shot of a logo&#10;&#10;AI-generated content may be incorrect."/>
                    <pic:cNvPicPr/>
                  </pic:nvPicPr>
                  <pic:blipFill rotWithShape="1">
                    <a:blip r:embed="rId7"/>
                    <a:srcRect l="42037" t="9953" r="37469" b="43190"/>
                    <a:stretch/>
                  </pic:blipFill>
                  <pic:spPr bwMode="auto">
                    <a:xfrm>
                      <a:off x="0" y="0"/>
                      <a:ext cx="5629461" cy="3958337"/>
                    </a:xfrm>
                    <a:prstGeom prst="rect">
                      <a:avLst/>
                    </a:prstGeom>
                    <a:ln>
                      <a:noFill/>
                    </a:ln>
                    <a:extLst>
                      <a:ext uri="{53640926-AAD7-44D8-BBD7-CCE9431645EC}">
                        <a14:shadowObscured xmlns:a14="http://schemas.microsoft.com/office/drawing/2010/main"/>
                      </a:ext>
                    </a:extLst>
                  </pic:spPr>
                </pic:pic>
              </a:graphicData>
            </a:graphic>
          </wp:inline>
        </w:drawing>
      </w:r>
    </w:p>
    <w:p w14:paraId="54927CAB" w14:textId="77777777" w:rsidR="00C57BCD" w:rsidRPr="00C57BCD" w:rsidRDefault="00C57BCD" w:rsidP="00C57BCD">
      <w:pPr>
        <w:rPr>
          <w:rStyle w:val="Strong"/>
          <w:rFonts w:cs="Calibri"/>
          <w:b w:val="0"/>
          <w:bCs w:val="0"/>
          <w:color w:val="auto"/>
          <w:sz w:val="22"/>
          <w:szCs w:val="22"/>
        </w:rPr>
      </w:pPr>
    </w:p>
    <w:p w14:paraId="12C5A176" w14:textId="0E67378F" w:rsidR="00C57BCD" w:rsidRPr="00C57BCD" w:rsidRDefault="00C57BCD" w:rsidP="00C57BCD">
      <w:pPr>
        <w:rPr>
          <w:rStyle w:val="Strong"/>
          <w:rFonts w:cs="Calibri"/>
          <w:b w:val="0"/>
          <w:bCs w:val="0"/>
          <w:color w:val="auto"/>
          <w:sz w:val="22"/>
          <w:szCs w:val="22"/>
        </w:rPr>
      </w:pPr>
      <w:r w:rsidRPr="00C57BCD">
        <w:rPr>
          <w:rStyle w:val="Strong"/>
          <w:rFonts w:cs="Calibri"/>
          <w:b w:val="0"/>
          <w:bCs w:val="0"/>
          <w:color w:val="auto"/>
          <w:sz w:val="22"/>
          <w:szCs w:val="22"/>
        </w:rPr>
        <w:t xml:space="preserve">Our provision is extremely important to the growth and ongoing development of Milton Keynes.  We are the largest provider of further education, adult education and apprenticeships.  Post-16 education in Milton Keynes is shaped and defined by Milton Keynes College Group. </w:t>
      </w:r>
    </w:p>
    <w:p w14:paraId="079AD772" w14:textId="77777777" w:rsidR="005E2227" w:rsidRPr="005E2227" w:rsidRDefault="005E2227" w:rsidP="005E2227">
      <w:pPr>
        <w:jc w:val="both"/>
        <w:rPr>
          <w:color w:val="auto"/>
          <w:sz w:val="22"/>
          <w:szCs w:val="20"/>
        </w:rPr>
      </w:pPr>
    </w:p>
    <w:p w14:paraId="5A47D3B4" w14:textId="670C9643" w:rsidR="005E2227" w:rsidRDefault="005E2227" w:rsidP="005E2227">
      <w:pPr>
        <w:jc w:val="both"/>
        <w:rPr>
          <w:rFonts w:ascii="Calibri" w:hAnsi="Calibri" w:cs="Calibri"/>
          <w:color w:val="auto"/>
          <w:sz w:val="22"/>
          <w:szCs w:val="20"/>
        </w:rPr>
      </w:pPr>
      <w:r w:rsidRPr="00C57BCD">
        <w:rPr>
          <w:rFonts w:ascii="Calibri" w:hAnsi="Calibri" w:cs="Calibri"/>
          <w:color w:val="auto"/>
          <w:sz w:val="22"/>
          <w:szCs w:val="20"/>
        </w:rPr>
        <w:t xml:space="preserve">For over 20 years, Milton Keynes College has been central to meeting the need for excellent quality, locally delivered Higher Education (HE) serving over 5000 learners during this time. </w:t>
      </w:r>
      <w:r w:rsidR="00836FDB">
        <w:rPr>
          <w:rFonts w:ascii="Calibri" w:hAnsi="Calibri" w:cs="Calibri"/>
          <w:color w:val="auto"/>
          <w:sz w:val="22"/>
          <w:szCs w:val="20"/>
        </w:rPr>
        <w:t xml:space="preserve"> </w:t>
      </w:r>
      <w:r w:rsidRPr="00C57BCD">
        <w:rPr>
          <w:rFonts w:ascii="Calibri" w:hAnsi="Calibri" w:cs="Calibri"/>
          <w:color w:val="auto"/>
          <w:sz w:val="22"/>
          <w:szCs w:val="20"/>
        </w:rPr>
        <w:t xml:space="preserve">Milton Keynes College sets out to make a distinctive contribution to the higher technical skills landscape of the city, drawing on its own strengths of developing and delivering vocational and technical programmes, </w:t>
      </w:r>
      <w:r w:rsidRPr="00C57BCD">
        <w:rPr>
          <w:rFonts w:ascii="Calibri" w:hAnsi="Calibri" w:cs="Calibri"/>
          <w:color w:val="auto"/>
          <w:sz w:val="22"/>
          <w:szCs w:val="20"/>
        </w:rPr>
        <w:lastRenderedPageBreak/>
        <w:t>linked to the priorities of employers, and reflecting the needs of local, regional, and national economies.</w:t>
      </w:r>
    </w:p>
    <w:p w14:paraId="11C287FE" w14:textId="77777777" w:rsidR="00E965B2" w:rsidRDefault="00E965B2" w:rsidP="00E965B2">
      <w:pPr>
        <w:pStyle w:val="ListParagraph"/>
        <w:ind w:left="0"/>
        <w:rPr>
          <w:rFonts w:ascii="Calibri" w:hAnsi="Calibri" w:cs="Calibri"/>
          <w:color w:val="auto"/>
          <w:sz w:val="22"/>
          <w:szCs w:val="22"/>
        </w:rPr>
      </w:pPr>
      <w:r>
        <w:rPr>
          <w:rFonts w:ascii="Calibri" w:hAnsi="Calibri" w:cs="Calibri"/>
          <w:color w:val="auto"/>
          <w:sz w:val="22"/>
          <w:szCs w:val="22"/>
        </w:rPr>
        <w:t>Over a 5 year period The College has an ambitious plan to grow and develop its Higher Education offer through:</w:t>
      </w:r>
    </w:p>
    <w:p w14:paraId="6EE7CFF2" w14:textId="77777777" w:rsidR="00E965B2" w:rsidRPr="00836FDB" w:rsidRDefault="00E965B2" w:rsidP="00E965B2">
      <w:pPr>
        <w:pStyle w:val="ListParagraph"/>
        <w:numPr>
          <w:ilvl w:val="0"/>
          <w:numId w:val="3"/>
        </w:numPr>
        <w:rPr>
          <w:rFonts w:ascii="Calibri" w:hAnsi="Calibri" w:cs="Calibri"/>
          <w:color w:val="auto"/>
          <w:sz w:val="22"/>
          <w:szCs w:val="22"/>
        </w:rPr>
      </w:pPr>
      <w:r w:rsidRPr="00836FDB">
        <w:rPr>
          <w:rFonts w:ascii="Calibri" w:hAnsi="Calibri" w:cs="Calibri"/>
          <w:color w:val="auto"/>
          <w:sz w:val="22"/>
          <w:szCs w:val="22"/>
        </w:rPr>
        <w:t>Demand led provision – meeting the needs of the increasing number of Level 3 learners in growth areas within the College.</w:t>
      </w:r>
    </w:p>
    <w:p w14:paraId="4E217902" w14:textId="77777777" w:rsidR="00E965B2" w:rsidRPr="00836FDB" w:rsidRDefault="00E965B2" w:rsidP="00E965B2">
      <w:pPr>
        <w:pStyle w:val="ListParagraph"/>
        <w:numPr>
          <w:ilvl w:val="0"/>
          <w:numId w:val="3"/>
        </w:numPr>
        <w:rPr>
          <w:rFonts w:ascii="Calibri" w:hAnsi="Calibri" w:cs="Calibri"/>
          <w:color w:val="auto"/>
          <w:sz w:val="22"/>
          <w:szCs w:val="22"/>
        </w:rPr>
      </w:pPr>
      <w:r w:rsidRPr="00836FDB">
        <w:rPr>
          <w:rFonts w:ascii="Calibri" w:hAnsi="Calibri" w:cs="Calibri"/>
          <w:color w:val="auto"/>
          <w:sz w:val="22"/>
          <w:szCs w:val="22"/>
        </w:rPr>
        <w:t xml:space="preserve">Meeting regional development needs – focusing new provision on meeting regional industry growth needs as identified by LEP/LSIP priorities, and employer-led developments. </w:t>
      </w:r>
    </w:p>
    <w:p w14:paraId="752C205C" w14:textId="77777777" w:rsidR="00E965B2" w:rsidRPr="00836FDB" w:rsidRDefault="00E965B2" w:rsidP="00E965B2">
      <w:pPr>
        <w:rPr>
          <w:rFonts w:ascii="Calibri" w:hAnsi="Calibri" w:cs="Calibri"/>
          <w:color w:val="auto"/>
          <w:sz w:val="22"/>
          <w:szCs w:val="22"/>
        </w:rPr>
      </w:pPr>
    </w:p>
    <w:p w14:paraId="38E25312" w14:textId="77777777" w:rsidR="00E965B2" w:rsidRPr="00836FDB" w:rsidRDefault="00E965B2" w:rsidP="00E965B2">
      <w:pPr>
        <w:rPr>
          <w:rFonts w:ascii="Calibri" w:hAnsi="Calibri" w:cs="Calibri"/>
          <w:color w:val="auto"/>
          <w:sz w:val="22"/>
          <w:szCs w:val="22"/>
        </w:rPr>
      </w:pPr>
      <w:r w:rsidRPr="00836FDB">
        <w:rPr>
          <w:rFonts w:ascii="Calibri" w:hAnsi="Calibri" w:cs="Calibri"/>
          <w:color w:val="auto"/>
          <w:sz w:val="22"/>
          <w:szCs w:val="22"/>
        </w:rPr>
        <w:t>Regional sectors identified for growth are:</w:t>
      </w:r>
    </w:p>
    <w:p w14:paraId="5D99B7DF" w14:textId="77777777" w:rsidR="00E965B2" w:rsidRPr="00836FDB" w:rsidRDefault="00E965B2" w:rsidP="00E965B2">
      <w:pPr>
        <w:rPr>
          <w:rFonts w:ascii="Calibri" w:hAnsi="Calibri" w:cs="Calibri"/>
          <w:color w:val="auto"/>
          <w:sz w:val="22"/>
          <w:szCs w:val="22"/>
        </w:rPr>
      </w:pPr>
    </w:p>
    <w:p w14:paraId="6D2FDA26" w14:textId="77777777" w:rsidR="00E965B2" w:rsidRPr="00836FDB" w:rsidRDefault="00E965B2" w:rsidP="00E965B2">
      <w:pPr>
        <w:pStyle w:val="ListParagraph"/>
        <w:numPr>
          <w:ilvl w:val="0"/>
          <w:numId w:val="4"/>
        </w:numPr>
        <w:rPr>
          <w:rFonts w:ascii="Calibri" w:hAnsi="Calibri" w:cs="Calibri"/>
          <w:color w:val="auto"/>
          <w:sz w:val="22"/>
          <w:szCs w:val="22"/>
        </w:rPr>
      </w:pPr>
      <w:r w:rsidRPr="00836FDB">
        <w:rPr>
          <w:rFonts w:ascii="Calibri" w:hAnsi="Calibri" w:cs="Calibri"/>
          <w:color w:val="auto"/>
          <w:sz w:val="22"/>
          <w:szCs w:val="22"/>
        </w:rPr>
        <w:t>Tech/AI sector &amp; the digital skills gap - LSIP priority</w:t>
      </w:r>
    </w:p>
    <w:p w14:paraId="5FD0D279" w14:textId="77777777" w:rsidR="00E965B2" w:rsidRPr="00836FDB" w:rsidRDefault="00E965B2" w:rsidP="00E965B2">
      <w:pPr>
        <w:pStyle w:val="ListParagraph"/>
        <w:numPr>
          <w:ilvl w:val="0"/>
          <w:numId w:val="4"/>
        </w:numPr>
        <w:rPr>
          <w:rFonts w:ascii="Calibri" w:hAnsi="Calibri" w:cs="Calibri"/>
          <w:color w:val="auto"/>
          <w:sz w:val="22"/>
          <w:szCs w:val="22"/>
        </w:rPr>
      </w:pPr>
      <w:r w:rsidRPr="00836FDB">
        <w:rPr>
          <w:rFonts w:ascii="Calibri" w:hAnsi="Calibri" w:cs="Calibri"/>
          <w:color w:val="auto"/>
          <w:sz w:val="22"/>
          <w:szCs w:val="22"/>
        </w:rPr>
        <w:t xml:space="preserve">Construction – predicted population growth </w:t>
      </w:r>
      <w:r>
        <w:rPr>
          <w:rFonts w:ascii="Calibri" w:hAnsi="Calibri" w:cs="Calibri"/>
          <w:color w:val="auto"/>
          <w:sz w:val="22"/>
          <w:szCs w:val="22"/>
        </w:rPr>
        <w:t xml:space="preserve">&amp; </w:t>
      </w:r>
      <w:r w:rsidRPr="00836FDB">
        <w:rPr>
          <w:rFonts w:ascii="Calibri" w:hAnsi="Calibri" w:cs="Calibri"/>
          <w:color w:val="auto"/>
          <w:sz w:val="22"/>
          <w:szCs w:val="22"/>
        </w:rPr>
        <w:t>increases in infrastructure</w:t>
      </w:r>
    </w:p>
    <w:p w14:paraId="692750BC" w14:textId="77777777" w:rsidR="00E965B2" w:rsidRPr="00836FDB" w:rsidRDefault="00E965B2" w:rsidP="00E965B2">
      <w:pPr>
        <w:pStyle w:val="ListParagraph"/>
        <w:numPr>
          <w:ilvl w:val="0"/>
          <w:numId w:val="4"/>
        </w:numPr>
        <w:rPr>
          <w:rFonts w:ascii="Calibri" w:hAnsi="Calibri" w:cs="Calibri"/>
          <w:color w:val="auto"/>
          <w:sz w:val="22"/>
          <w:szCs w:val="22"/>
        </w:rPr>
      </w:pPr>
      <w:r w:rsidRPr="00836FDB">
        <w:rPr>
          <w:rFonts w:ascii="Calibri" w:hAnsi="Calibri" w:cs="Calibri"/>
          <w:color w:val="auto"/>
          <w:sz w:val="22"/>
          <w:szCs w:val="22"/>
        </w:rPr>
        <w:t>Leisure/Tourism –</w:t>
      </w:r>
      <w:r>
        <w:rPr>
          <w:rFonts w:ascii="Calibri" w:hAnsi="Calibri" w:cs="Calibri"/>
          <w:color w:val="auto"/>
          <w:sz w:val="22"/>
          <w:szCs w:val="22"/>
        </w:rPr>
        <w:t xml:space="preserve"> student demand and industry-led and</w:t>
      </w:r>
      <w:r w:rsidRPr="00836FDB">
        <w:rPr>
          <w:rFonts w:ascii="Calibri" w:hAnsi="Calibri" w:cs="Calibri"/>
          <w:color w:val="auto"/>
          <w:sz w:val="22"/>
          <w:szCs w:val="22"/>
        </w:rPr>
        <w:t xml:space="preserve"> </w:t>
      </w:r>
      <w:r>
        <w:rPr>
          <w:rFonts w:ascii="Calibri" w:hAnsi="Calibri" w:cs="Calibri"/>
          <w:color w:val="auto"/>
          <w:sz w:val="22"/>
          <w:szCs w:val="22"/>
        </w:rPr>
        <w:t>linked to regional employment growth</w:t>
      </w:r>
    </w:p>
    <w:p w14:paraId="245121E7" w14:textId="77777777" w:rsidR="00E965B2" w:rsidRPr="00836FDB" w:rsidRDefault="00E965B2" w:rsidP="00E965B2">
      <w:pPr>
        <w:pStyle w:val="ListParagraph"/>
        <w:numPr>
          <w:ilvl w:val="0"/>
          <w:numId w:val="4"/>
        </w:numPr>
        <w:rPr>
          <w:rFonts w:ascii="Calibri" w:hAnsi="Calibri" w:cs="Calibri"/>
          <w:color w:val="auto"/>
          <w:sz w:val="22"/>
          <w:szCs w:val="22"/>
        </w:rPr>
      </w:pPr>
      <w:r w:rsidRPr="00836FDB">
        <w:rPr>
          <w:rFonts w:ascii="Calibri" w:hAnsi="Calibri" w:cs="Calibri"/>
          <w:color w:val="auto"/>
          <w:sz w:val="22"/>
          <w:szCs w:val="22"/>
        </w:rPr>
        <w:t>Health &amp; active industries – LSIP priority</w:t>
      </w:r>
    </w:p>
    <w:p w14:paraId="578E5A15" w14:textId="77777777" w:rsidR="00E965B2" w:rsidRPr="00836FDB" w:rsidRDefault="00E965B2" w:rsidP="00E965B2">
      <w:pPr>
        <w:pStyle w:val="ListParagraph"/>
        <w:numPr>
          <w:ilvl w:val="0"/>
          <w:numId w:val="4"/>
        </w:numPr>
        <w:rPr>
          <w:rFonts w:ascii="Calibri" w:hAnsi="Calibri" w:cs="Calibri"/>
          <w:color w:val="auto"/>
          <w:sz w:val="22"/>
          <w:szCs w:val="22"/>
        </w:rPr>
      </w:pPr>
      <w:r w:rsidRPr="00836FDB">
        <w:rPr>
          <w:rFonts w:ascii="Calibri" w:hAnsi="Calibri" w:cs="Calibri"/>
          <w:color w:val="auto"/>
          <w:sz w:val="22"/>
          <w:szCs w:val="22"/>
        </w:rPr>
        <w:t xml:space="preserve">Arts/Media – </w:t>
      </w:r>
      <w:r>
        <w:rPr>
          <w:rFonts w:ascii="Calibri" w:hAnsi="Calibri" w:cs="Calibri"/>
          <w:color w:val="auto"/>
          <w:sz w:val="22"/>
          <w:szCs w:val="22"/>
        </w:rPr>
        <w:t>student demand and industry-led and</w:t>
      </w:r>
      <w:r w:rsidRPr="00836FDB">
        <w:rPr>
          <w:rFonts w:ascii="Calibri" w:hAnsi="Calibri" w:cs="Calibri"/>
          <w:color w:val="auto"/>
          <w:sz w:val="22"/>
          <w:szCs w:val="22"/>
        </w:rPr>
        <w:t xml:space="preserve"> </w:t>
      </w:r>
      <w:r>
        <w:rPr>
          <w:rFonts w:ascii="Calibri" w:hAnsi="Calibri" w:cs="Calibri"/>
          <w:color w:val="auto"/>
          <w:sz w:val="22"/>
          <w:szCs w:val="22"/>
        </w:rPr>
        <w:t>linked to regional employment growth</w:t>
      </w:r>
    </w:p>
    <w:p w14:paraId="00171D0F" w14:textId="77777777" w:rsidR="00E965B2" w:rsidRPr="00C57BCD" w:rsidRDefault="00E965B2" w:rsidP="005E2227">
      <w:pPr>
        <w:jc w:val="both"/>
        <w:rPr>
          <w:rFonts w:ascii="Calibri" w:hAnsi="Calibri" w:cs="Calibri"/>
          <w:color w:val="auto"/>
          <w:sz w:val="22"/>
          <w:szCs w:val="20"/>
        </w:rPr>
      </w:pPr>
    </w:p>
    <w:p w14:paraId="6B7ED86E" w14:textId="77777777" w:rsidR="005E2227" w:rsidRPr="00836FDB" w:rsidRDefault="005E2227" w:rsidP="00836FDB">
      <w:pPr>
        <w:pStyle w:val="NormalWeb"/>
        <w:rPr>
          <w:rFonts w:ascii="Calibri" w:hAnsi="Calibri" w:cs="Calibri"/>
          <w:sz w:val="22"/>
          <w:szCs w:val="22"/>
        </w:rPr>
      </w:pPr>
      <w:r w:rsidRPr="00836FDB">
        <w:rPr>
          <w:rFonts w:ascii="Calibri" w:hAnsi="Calibri" w:cs="Calibri"/>
          <w:sz w:val="22"/>
          <w:szCs w:val="22"/>
        </w:rPr>
        <w:t>Milton Keynes College is committed to raising aspirations and breaking down barriers to learning for all, including those from recognised underrepresented groups.</w:t>
      </w:r>
    </w:p>
    <w:p w14:paraId="71B69739" w14:textId="41060D94" w:rsidR="005E2227" w:rsidRPr="00836FDB" w:rsidRDefault="005E2227" w:rsidP="00836FDB">
      <w:pPr>
        <w:pStyle w:val="ListParagraph"/>
        <w:ind w:left="0"/>
        <w:rPr>
          <w:rFonts w:ascii="Calibri" w:hAnsi="Calibri" w:cs="Calibri"/>
          <w:color w:val="auto"/>
          <w:sz w:val="22"/>
          <w:szCs w:val="22"/>
        </w:rPr>
      </w:pPr>
      <w:r w:rsidRPr="00836FDB">
        <w:rPr>
          <w:rFonts w:ascii="Calibri" w:hAnsi="Calibri" w:cs="Calibri"/>
          <w:color w:val="auto"/>
          <w:sz w:val="22"/>
          <w:szCs w:val="22"/>
        </w:rPr>
        <w:t>In terms of providing Access to HE our data shows that our learner community does not mirror that of our local population and in particular, minority ethnic groups</w:t>
      </w:r>
      <w:r w:rsidR="00E965B2">
        <w:rPr>
          <w:rFonts w:ascii="Calibri" w:hAnsi="Calibri" w:cs="Calibri"/>
          <w:color w:val="auto"/>
          <w:sz w:val="22"/>
          <w:szCs w:val="22"/>
        </w:rPr>
        <w:t xml:space="preserve">, and students from low-income backgrounds </w:t>
      </w:r>
      <w:r w:rsidRPr="00836FDB">
        <w:rPr>
          <w:rFonts w:ascii="Calibri" w:hAnsi="Calibri" w:cs="Calibri"/>
          <w:color w:val="auto"/>
          <w:sz w:val="22"/>
          <w:szCs w:val="22"/>
        </w:rPr>
        <w:t>are under-represented in our Higher Education cohorts.</w:t>
      </w:r>
    </w:p>
    <w:p w14:paraId="04D4519C" w14:textId="77777777" w:rsidR="005E2227" w:rsidRPr="00836FDB" w:rsidRDefault="005E2227" w:rsidP="005E2227">
      <w:pPr>
        <w:pStyle w:val="ListParagraph"/>
        <w:ind w:left="0"/>
        <w:rPr>
          <w:rFonts w:ascii="Calibri" w:hAnsi="Calibri" w:cs="Calibri"/>
          <w:color w:val="auto"/>
          <w:sz w:val="22"/>
          <w:szCs w:val="22"/>
        </w:rPr>
      </w:pPr>
    </w:p>
    <w:p w14:paraId="604B705D" w14:textId="7171B4BB" w:rsidR="005E2227" w:rsidRPr="00836FDB" w:rsidRDefault="005E2227" w:rsidP="00836FDB">
      <w:pPr>
        <w:pStyle w:val="ListParagraph"/>
        <w:ind w:left="0"/>
        <w:rPr>
          <w:rFonts w:ascii="Calibri" w:hAnsi="Calibri" w:cs="Calibri"/>
          <w:color w:val="auto"/>
          <w:sz w:val="22"/>
          <w:szCs w:val="22"/>
        </w:rPr>
      </w:pPr>
      <w:r w:rsidRPr="00836FDB">
        <w:rPr>
          <w:rFonts w:ascii="Calibri" w:hAnsi="Calibri" w:cs="Calibri"/>
          <w:color w:val="auto"/>
          <w:sz w:val="22"/>
          <w:szCs w:val="22"/>
        </w:rPr>
        <w:t>Our primary objective at the access stage is therefore to not only raise</w:t>
      </w:r>
      <w:r w:rsidR="00836FDB">
        <w:rPr>
          <w:rFonts w:ascii="Calibri" w:hAnsi="Calibri" w:cs="Calibri"/>
          <w:color w:val="auto"/>
          <w:sz w:val="22"/>
          <w:szCs w:val="22"/>
        </w:rPr>
        <w:t xml:space="preserve"> overall</w:t>
      </w:r>
      <w:r w:rsidRPr="00836FDB">
        <w:rPr>
          <w:rFonts w:ascii="Calibri" w:hAnsi="Calibri" w:cs="Calibri"/>
          <w:color w:val="auto"/>
          <w:sz w:val="22"/>
          <w:szCs w:val="22"/>
        </w:rPr>
        <w:t xml:space="preserve"> learner numbers</w:t>
      </w:r>
      <w:r w:rsidR="00836FDB">
        <w:rPr>
          <w:rFonts w:ascii="Calibri" w:hAnsi="Calibri" w:cs="Calibri"/>
          <w:color w:val="auto"/>
          <w:sz w:val="22"/>
          <w:szCs w:val="22"/>
        </w:rPr>
        <w:t xml:space="preserve"> and progression opportunities for our Further Education cohorts</w:t>
      </w:r>
      <w:r w:rsidRPr="00836FDB">
        <w:rPr>
          <w:rFonts w:ascii="Calibri" w:hAnsi="Calibri" w:cs="Calibri"/>
          <w:color w:val="auto"/>
          <w:sz w:val="22"/>
          <w:szCs w:val="22"/>
        </w:rPr>
        <w:t>, but also to focus on raising the proportions of learners from minority backgrounds enrolling on to HE programmes with us.  The target here is to align our student community demographic with that of the local population.  Raising access amongst Black and Asian applicants is a priority.</w:t>
      </w:r>
      <w:r w:rsidR="00836FDB">
        <w:rPr>
          <w:rFonts w:ascii="Calibri" w:hAnsi="Calibri" w:cs="Calibri"/>
          <w:color w:val="auto"/>
          <w:sz w:val="22"/>
          <w:szCs w:val="22"/>
        </w:rPr>
        <w:t xml:space="preserve">  Focused recruitment and aspiration raising activities through our schools engagement and STEMx programmes are focused on these targets.</w:t>
      </w:r>
    </w:p>
    <w:p w14:paraId="5793DD6B" w14:textId="77777777" w:rsidR="005E2227" w:rsidRPr="00836FDB" w:rsidRDefault="005E2227" w:rsidP="005E2227">
      <w:pPr>
        <w:pStyle w:val="ListParagraph"/>
        <w:ind w:left="0"/>
        <w:jc w:val="both"/>
        <w:rPr>
          <w:rFonts w:ascii="Calibri" w:hAnsi="Calibri" w:cs="Calibri"/>
          <w:color w:val="auto"/>
          <w:sz w:val="22"/>
          <w:szCs w:val="22"/>
        </w:rPr>
      </w:pPr>
    </w:p>
    <w:p w14:paraId="2B898EDB" w14:textId="0C083C7C" w:rsidR="00EC408B" w:rsidRDefault="005E2227" w:rsidP="00836FDB">
      <w:pPr>
        <w:pStyle w:val="ListParagraph"/>
        <w:ind w:left="0"/>
        <w:rPr>
          <w:rFonts w:ascii="Calibri" w:hAnsi="Calibri" w:cs="Calibri"/>
          <w:color w:val="auto"/>
          <w:sz w:val="22"/>
          <w:szCs w:val="22"/>
        </w:rPr>
      </w:pPr>
      <w:r w:rsidRPr="00836FDB">
        <w:rPr>
          <w:rFonts w:ascii="Calibri" w:hAnsi="Calibri" w:cs="Calibri"/>
          <w:color w:val="auto"/>
          <w:sz w:val="22"/>
          <w:szCs w:val="22"/>
        </w:rPr>
        <w:t>Sizeable Equality of Opportunity risk gaps persist into the completion phase of the student lifecycle.  Again, our sample is limited in size so the gaps we have year-on-year data for are highly inconsistent, so we are reliant on aggregate data</w:t>
      </w:r>
      <w:r w:rsidR="00E965B2">
        <w:rPr>
          <w:rFonts w:ascii="Calibri" w:hAnsi="Calibri" w:cs="Calibri"/>
          <w:color w:val="auto"/>
          <w:sz w:val="22"/>
          <w:szCs w:val="22"/>
        </w:rPr>
        <w:t>.  Aggregate</w:t>
      </w:r>
      <w:r w:rsidRPr="00836FDB">
        <w:rPr>
          <w:rFonts w:ascii="Calibri" w:hAnsi="Calibri" w:cs="Calibri"/>
          <w:color w:val="auto"/>
          <w:sz w:val="22"/>
          <w:szCs w:val="22"/>
        </w:rPr>
        <w:t xml:space="preserve"> data for completion indicates a </w:t>
      </w:r>
      <w:r w:rsidR="00E965B2">
        <w:rPr>
          <w:rFonts w:ascii="Calibri" w:hAnsi="Calibri" w:cs="Calibri"/>
          <w:color w:val="auto"/>
          <w:sz w:val="22"/>
          <w:szCs w:val="22"/>
        </w:rPr>
        <w:t>significant</w:t>
      </w:r>
      <w:r w:rsidRPr="00836FDB">
        <w:rPr>
          <w:rFonts w:ascii="Calibri" w:hAnsi="Calibri" w:cs="Calibri"/>
          <w:color w:val="auto"/>
          <w:sz w:val="22"/>
          <w:szCs w:val="22"/>
        </w:rPr>
        <w:t xml:space="preserve"> gap between White British learners and those from all other ethnic groups.  In line with our Fairer Futures Strategy the College will strive to reduce this gap, with focused support systems in place as a whole college approach through provision of hardship bursary funding and access to both academic and pastoral support to target groups.</w:t>
      </w:r>
    </w:p>
    <w:p w14:paraId="5CC03839" w14:textId="77777777" w:rsidR="00836FDB" w:rsidRDefault="00836FDB" w:rsidP="00836FDB">
      <w:pPr>
        <w:pStyle w:val="ListParagraph"/>
        <w:ind w:left="0"/>
        <w:rPr>
          <w:rFonts w:ascii="Calibri" w:hAnsi="Calibri" w:cs="Calibri"/>
          <w:color w:val="auto"/>
          <w:sz w:val="22"/>
          <w:szCs w:val="22"/>
        </w:rPr>
      </w:pPr>
    </w:p>
    <w:sectPr w:rsidR="00836FDB">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1D0E28" w14:textId="77777777" w:rsidR="00867C5C" w:rsidRDefault="00867C5C" w:rsidP="005E2227">
      <w:r>
        <w:separator/>
      </w:r>
    </w:p>
  </w:endnote>
  <w:endnote w:type="continuationSeparator" w:id="0">
    <w:p w14:paraId="0EC81F9B" w14:textId="77777777" w:rsidR="00867C5C" w:rsidRDefault="00867C5C" w:rsidP="005E22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D1FD9D" w14:textId="77777777" w:rsidR="00867C5C" w:rsidRDefault="00867C5C" w:rsidP="005E2227">
      <w:r>
        <w:separator/>
      </w:r>
    </w:p>
  </w:footnote>
  <w:footnote w:type="continuationSeparator" w:id="0">
    <w:p w14:paraId="5698FBB4" w14:textId="77777777" w:rsidR="00867C5C" w:rsidRDefault="00867C5C" w:rsidP="005E222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AC710D"/>
    <w:multiLevelType w:val="hybridMultilevel"/>
    <w:tmpl w:val="C2F6D99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1C644E34"/>
    <w:multiLevelType w:val="hybridMultilevel"/>
    <w:tmpl w:val="2E9C5AC2"/>
    <w:lvl w:ilvl="0" w:tplc="ED60015A">
      <w:numFmt w:val="bullet"/>
      <w:lvlText w:val="-"/>
      <w:lvlJc w:val="left"/>
      <w:pPr>
        <w:ind w:left="420" w:hanging="360"/>
      </w:pPr>
      <w:rPr>
        <w:rFonts w:ascii="Calibri" w:eastAsiaTheme="minorEastAsia" w:hAnsi="Calibri" w:cs="Calibri" w:hint="default"/>
      </w:rPr>
    </w:lvl>
    <w:lvl w:ilvl="1" w:tplc="08090003">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2" w15:restartNumberingAfterBreak="0">
    <w:nsid w:val="1D7A0894"/>
    <w:multiLevelType w:val="hybridMultilevel"/>
    <w:tmpl w:val="79F05E0A"/>
    <w:lvl w:ilvl="0" w:tplc="CD4A30A6">
      <w:start w:val="1"/>
      <w:numFmt w:val="bullet"/>
      <w:lvlText w:val=""/>
      <w:lvlJc w:val="left"/>
      <w:pPr>
        <w:ind w:left="720" w:hanging="360"/>
      </w:pPr>
      <w:rPr>
        <w:rFonts w:ascii="Symbol" w:hAnsi="Symbol" w:cs="Symbol" w:hint="default"/>
        <w:b/>
        <w:i w:val="0"/>
        <w:color w:val="FF4800"/>
        <w:sz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1CF47C0"/>
    <w:multiLevelType w:val="hybridMultilevel"/>
    <w:tmpl w:val="C1A0C62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160120535">
    <w:abstractNumId w:val="3"/>
  </w:num>
  <w:num w:numId="2" w16cid:durableId="670761043">
    <w:abstractNumId w:val="0"/>
  </w:num>
  <w:num w:numId="3" w16cid:durableId="2095006381">
    <w:abstractNumId w:val="2"/>
  </w:num>
  <w:num w:numId="4" w16cid:durableId="3337291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2227"/>
    <w:rsid w:val="0009395F"/>
    <w:rsid w:val="000E3899"/>
    <w:rsid w:val="001C6CEF"/>
    <w:rsid w:val="005C0F86"/>
    <w:rsid w:val="005E2227"/>
    <w:rsid w:val="00836FDB"/>
    <w:rsid w:val="00867C5C"/>
    <w:rsid w:val="00A71B73"/>
    <w:rsid w:val="00AA5ED1"/>
    <w:rsid w:val="00C101B1"/>
    <w:rsid w:val="00C57BCD"/>
    <w:rsid w:val="00C7080F"/>
    <w:rsid w:val="00E965B2"/>
    <w:rsid w:val="00EC40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BEB654"/>
  <w15:chartTrackingRefBased/>
  <w15:docId w15:val="{25D826CE-F5E7-499E-8B87-D51341B8CA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Copy_1_Grey"/>
    <w:qFormat/>
    <w:rsid w:val="005E2227"/>
    <w:pPr>
      <w:spacing w:after="0" w:line="240" w:lineRule="auto"/>
    </w:pPr>
    <w:rPr>
      <w:rFonts w:eastAsiaTheme="minorEastAsia"/>
      <w:color w:val="E8E8E8" w:themeColor="background2"/>
      <w:kern w:val="0"/>
      <w:sz w:val="28"/>
      <w:lang w:eastAsia="zh-CN"/>
      <w14:ligatures w14:val="none"/>
    </w:rPr>
  </w:style>
  <w:style w:type="paragraph" w:styleId="Heading1">
    <w:name w:val="heading 1"/>
    <w:basedOn w:val="Normal"/>
    <w:next w:val="Normal"/>
    <w:link w:val="Heading1Char"/>
    <w:uiPriority w:val="9"/>
    <w:qFormat/>
    <w:rsid w:val="005E222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E222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E2227"/>
    <w:pPr>
      <w:keepNext/>
      <w:keepLines/>
      <w:spacing w:before="160" w:after="80"/>
      <w:outlineLvl w:val="2"/>
    </w:pPr>
    <w:rPr>
      <w:rFonts w:eastAsiaTheme="majorEastAsia" w:cstheme="majorBidi"/>
      <w:color w:val="0F4761" w:themeColor="accent1" w:themeShade="BF"/>
      <w:szCs w:val="28"/>
    </w:rPr>
  </w:style>
  <w:style w:type="paragraph" w:styleId="Heading4">
    <w:name w:val="heading 4"/>
    <w:basedOn w:val="Normal"/>
    <w:next w:val="Normal"/>
    <w:link w:val="Heading4Char"/>
    <w:uiPriority w:val="9"/>
    <w:semiHidden/>
    <w:unhideWhenUsed/>
    <w:qFormat/>
    <w:rsid w:val="005E222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E222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E222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E222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E222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E222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E222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E222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E222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E222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E222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E222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E222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E222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E2227"/>
    <w:rPr>
      <w:rFonts w:eastAsiaTheme="majorEastAsia" w:cstheme="majorBidi"/>
      <w:color w:val="272727" w:themeColor="text1" w:themeTint="D8"/>
    </w:rPr>
  </w:style>
  <w:style w:type="paragraph" w:styleId="Title">
    <w:name w:val="Title"/>
    <w:basedOn w:val="Normal"/>
    <w:next w:val="Normal"/>
    <w:link w:val="TitleChar"/>
    <w:uiPriority w:val="10"/>
    <w:qFormat/>
    <w:rsid w:val="005E222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E222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E2227"/>
    <w:pPr>
      <w:numPr>
        <w:ilvl w:val="1"/>
      </w:numPr>
    </w:pPr>
    <w:rPr>
      <w:rFonts w:eastAsiaTheme="majorEastAsia" w:cstheme="majorBidi"/>
      <w:color w:val="595959" w:themeColor="text1" w:themeTint="A6"/>
      <w:spacing w:val="15"/>
      <w:szCs w:val="28"/>
    </w:rPr>
  </w:style>
  <w:style w:type="character" w:customStyle="1" w:styleId="SubtitleChar">
    <w:name w:val="Subtitle Char"/>
    <w:basedOn w:val="DefaultParagraphFont"/>
    <w:link w:val="Subtitle"/>
    <w:uiPriority w:val="11"/>
    <w:rsid w:val="005E222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E2227"/>
    <w:pPr>
      <w:spacing w:before="160"/>
      <w:jc w:val="center"/>
    </w:pPr>
    <w:rPr>
      <w:i/>
      <w:iCs/>
      <w:color w:val="404040" w:themeColor="text1" w:themeTint="BF"/>
    </w:rPr>
  </w:style>
  <w:style w:type="character" w:customStyle="1" w:styleId="QuoteChar">
    <w:name w:val="Quote Char"/>
    <w:basedOn w:val="DefaultParagraphFont"/>
    <w:link w:val="Quote"/>
    <w:uiPriority w:val="29"/>
    <w:rsid w:val="005E2227"/>
    <w:rPr>
      <w:i/>
      <w:iCs/>
      <w:color w:val="404040" w:themeColor="text1" w:themeTint="BF"/>
    </w:rPr>
  </w:style>
  <w:style w:type="paragraph" w:styleId="ListParagraph">
    <w:name w:val="List Paragraph"/>
    <w:aliases w:val="F5 List Paragraph,List Paragraph1,Dot pt,List Paragraph11,Colorful List - Accent 11,Bullet 1,Bullet Points,MAIN CONTENT,No Spacing1,List Paragraph Char Char Char,Indicator Text,Numbered Para 1,List Paragraph12,Bullet Style,List Paragraph2"/>
    <w:basedOn w:val="Normal"/>
    <w:link w:val="ListParagraphChar"/>
    <w:uiPriority w:val="34"/>
    <w:qFormat/>
    <w:rsid w:val="005E2227"/>
    <w:pPr>
      <w:ind w:left="720"/>
      <w:contextualSpacing/>
    </w:pPr>
  </w:style>
  <w:style w:type="character" w:styleId="IntenseEmphasis">
    <w:name w:val="Intense Emphasis"/>
    <w:basedOn w:val="DefaultParagraphFont"/>
    <w:uiPriority w:val="21"/>
    <w:qFormat/>
    <w:rsid w:val="005E2227"/>
    <w:rPr>
      <w:i/>
      <w:iCs/>
      <w:color w:val="0F4761" w:themeColor="accent1" w:themeShade="BF"/>
    </w:rPr>
  </w:style>
  <w:style w:type="paragraph" w:styleId="IntenseQuote">
    <w:name w:val="Intense Quote"/>
    <w:basedOn w:val="Normal"/>
    <w:next w:val="Normal"/>
    <w:link w:val="IntenseQuoteChar"/>
    <w:uiPriority w:val="30"/>
    <w:qFormat/>
    <w:rsid w:val="005E222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E2227"/>
    <w:rPr>
      <w:i/>
      <w:iCs/>
      <w:color w:val="0F4761" w:themeColor="accent1" w:themeShade="BF"/>
    </w:rPr>
  </w:style>
  <w:style w:type="character" w:styleId="IntenseReference">
    <w:name w:val="Intense Reference"/>
    <w:basedOn w:val="DefaultParagraphFont"/>
    <w:uiPriority w:val="32"/>
    <w:qFormat/>
    <w:rsid w:val="005E2227"/>
    <w:rPr>
      <w:b/>
      <w:bCs/>
      <w:smallCaps/>
      <w:color w:val="0F4761" w:themeColor="accent1" w:themeShade="BF"/>
      <w:spacing w:val="5"/>
    </w:rPr>
  </w:style>
  <w:style w:type="character" w:styleId="Hyperlink">
    <w:name w:val="Hyperlink"/>
    <w:basedOn w:val="DefaultParagraphFont"/>
    <w:uiPriority w:val="99"/>
    <w:unhideWhenUsed/>
    <w:rsid w:val="005E2227"/>
    <w:rPr>
      <w:color w:val="auto"/>
      <w:u w:val="single"/>
    </w:rPr>
  </w:style>
  <w:style w:type="paragraph" w:styleId="FootnoteText">
    <w:name w:val="footnote text"/>
    <w:basedOn w:val="Normal"/>
    <w:link w:val="FootnoteTextChar"/>
    <w:uiPriority w:val="99"/>
    <w:semiHidden/>
    <w:unhideWhenUsed/>
    <w:rsid w:val="005E2227"/>
    <w:rPr>
      <w:rFonts w:ascii="Arial" w:eastAsiaTheme="minorHAnsi" w:hAnsi="Arial"/>
      <w:color w:val="auto"/>
      <w:sz w:val="20"/>
      <w:szCs w:val="20"/>
      <w:lang w:eastAsia="en-US"/>
    </w:rPr>
  </w:style>
  <w:style w:type="character" w:customStyle="1" w:styleId="FootnoteTextChar">
    <w:name w:val="Footnote Text Char"/>
    <w:basedOn w:val="DefaultParagraphFont"/>
    <w:link w:val="FootnoteText"/>
    <w:uiPriority w:val="99"/>
    <w:semiHidden/>
    <w:rsid w:val="005E2227"/>
    <w:rPr>
      <w:rFonts w:ascii="Arial" w:hAnsi="Arial"/>
      <w:kern w:val="0"/>
      <w:sz w:val="20"/>
      <w:szCs w:val="20"/>
      <w14:ligatures w14:val="none"/>
    </w:rPr>
  </w:style>
  <w:style w:type="character" w:styleId="FootnoteReference">
    <w:name w:val="footnote reference"/>
    <w:basedOn w:val="DefaultParagraphFont"/>
    <w:uiPriority w:val="99"/>
    <w:semiHidden/>
    <w:unhideWhenUsed/>
    <w:rsid w:val="005E2227"/>
    <w:rPr>
      <w:vertAlign w:val="superscript"/>
    </w:rPr>
  </w:style>
  <w:style w:type="paragraph" w:styleId="NormalWeb">
    <w:name w:val="Normal (Web)"/>
    <w:basedOn w:val="Normal"/>
    <w:uiPriority w:val="99"/>
    <w:unhideWhenUsed/>
    <w:rsid w:val="005E2227"/>
    <w:pPr>
      <w:spacing w:before="100" w:beforeAutospacing="1" w:after="100" w:afterAutospacing="1"/>
    </w:pPr>
    <w:rPr>
      <w:rFonts w:ascii="Times New Roman" w:eastAsia="Times New Roman" w:hAnsi="Times New Roman" w:cs="Times New Roman"/>
      <w:color w:val="auto"/>
      <w:sz w:val="24"/>
      <w:lang w:eastAsia="en-GB"/>
    </w:rPr>
  </w:style>
  <w:style w:type="character" w:styleId="Strong">
    <w:name w:val="Strong"/>
    <w:basedOn w:val="DefaultParagraphFont"/>
    <w:uiPriority w:val="22"/>
    <w:qFormat/>
    <w:rsid w:val="00C57BCD"/>
    <w:rPr>
      <w:rFonts w:ascii="Calibri" w:hAnsi="Calibri"/>
      <w:b/>
      <w:bCs/>
      <w:i w:val="0"/>
      <w:sz w:val="36"/>
    </w:rPr>
  </w:style>
  <w:style w:type="paragraph" w:customStyle="1" w:styleId="Sub-header1Blue">
    <w:name w:val="Sub-header 1 Blue"/>
    <w:basedOn w:val="Normal"/>
    <w:qFormat/>
    <w:rsid w:val="00C57BCD"/>
    <w:rPr>
      <w:b/>
      <w:color w:val="153256"/>
      <w:sz w:val="40"/>
    </w:rPr>
  </w:style>
  <w:style w:type="character" w:customStyle="1" w:styleId="ListParagraphChar">
    <w:name w:val="List Paragraph Char"/>
    <w:aliases w:val="F5 List Paragraph Char,List Paragraph1 Char,Dot pt Char,List Paragraph11 Char,Colorful List - Accent 11 Char,Bullet 1 Char,Bullet Points Char,MAIN CONTENT Char,No Spacing1 Char,List Paragraph Char Char Char Char,Indicator Text Char"/>
    <w:basedOn w:val="DefaultParagraphFont"/>
    <w:link w:val="ListParagraph"/>
    <w:uiPriority w:val="34"/>
    <w:qFormat/>
    <w:locked/>
    <w:rsid w:val="00C57B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08F0691F70D994D9E42E36A7202361A" ma:contentTypeVersion="3" ma:contentTypeDescription="Create a new document." ma:contentTypeScope="" ma:versionID="2a254b055bf6440e95d4816bfbe17f40">
  <xsd:schema xmlns:xsd="http://www.w3.org/2001/XMLSchema" xmlns:xs="http://www.w3.org/2001/XMLSchema" xmlns:p="http://schemas.microsoft.com/office/2006/metadata/properties" xmlns:ns2="3f24dbb5-857d-42c0-8513-d119a0c9cbf1" targetNamespace="http://schemas.microsoft.com/office/2006/metadata/properties" ma:root="true" ma:fieldsID="05fd8956c17e5511f90ef1517dfa6811" ns2:_="">
    <xsd:import namespace="3f24dbb5-857d-42c0-8513-d119a0c9cbf1"/>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24dbb5-857d-42c0-8513-d119a0c9cbf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206A4B4-3942-4F2C-B71E-F69A153BAB00}"/>
</file>

<file path=customXml/itemProps2.xml><?xml version="1.0" encoding="utf-8"?>
<ds:datastoreItem xmlns:ds="http://schemas.openxmlformats.org/officeDocument/2006/customXml" ds:itemID="{C23A8661-94C9-4B51-AF7B-CE6C28FB4213}"/>
</file>

<file path=customXml/itemProps3.xml><?xml version="1.0" encoding="utf-8"?>
<ds:datastoreItem xmlns:ds="http://schemas.openxmlformats.org/officeDocument/2006/customXml" ds:itemID="{82DC82A0-13C5-415C-8D70-741BB2E05154}"/>
</file>

<file path=docProps/app.xml><?xml version="1.0" encoding="utf-8"?>
<Properties xmlns="http://schemas.openxmlformats.org/officeDocument/2006/extended-properties" xmlns:vt="http://schemas.openxmlformats.org/officeDocument/2006/docPropsVTypes">
  <Template>Normal</Template>
  <TotalTime>1</TotalTime>
  <Pages>2</Pages>
  <Words>619</Words>
  <Characters>3531</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Milton Keynes College</Company>
  <LinksUpToDate>false</LinksUpToDate>
  <CharactersWithSpaces>4142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Black</dc:creator>
  <cp:keywords/>
  <dc:description/>
  <cp:lastModifiedBy>Laura Black</cp:lastModifiedBy>
  <cp:revision>3</cp:revision>
  <dcterms:created xsi:type="dcterms:W3CDTF">2026-05-05T15:45:00Z</dcterms:created>
  <dcterms:modified xsi:type="dcterms:W3CDTF">2026-05-05T15:45:00Z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0x010100908F0691F70D994D9E42E36A7202361A</vt:lpwstr>
  </property>
  <property fmtid="{D5CDD505-2E9C-101B-9397-08002B2CF9AE}" pid="4" name="docLang">
    <vt:lpwstr>en</vt:lpwstr>
  </property>
</Properties>
</file>