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5FD1" w14:textId="77777777" w:rsidR="0021393F" w:rsidRDefault="00655487" w:rsidP="0021393F">
      <w:pPr>
        <w:pStyle w:val="Heading1"/>
        <w:spacing w:line="240" w:lineRule="auto"/>
        <w:rPr>
          <w:rFonts w:ascii="Aptos" w:hAnsi="Aptos"/>
        </w:rPr>
      </w:pPr>
      <w:r w:rsidRPr="0021393F">
        <w:rPr>
          <w:rFonts w:ascii="Aptos" w:hAnsi="Aptos"/>
        </w:rPr>
        <w:t>Access and Participation Plan Summary (2026–30)</w:t>
      </w:r>
    </w:p>
    <w:p w14:paraId="4830F49B" w14:textId="7FA29454" w:rsidR="0057555C" w:rsidRPr="0021393F" w:rsidRDefault="00655487" w:rsidP="0021393F">
      <w:pPr>
        <w:pStyle w:val="Heading1"/>
        <w:spacing w:before="0" w:line="240" w:lineRule="auto"/>
        <w:rPr>
          <w:rFonts w:ascii="Aptos" w:hAnsi="Aptos"/>
        </w:rPr>
      </w:pPr>
      <w:r w:rsidRPr="0021393F">
        <w:rPr>
          <w:rFonts w:ascii="Aptos" w:hAnsi="Aptos"/>
        </w:rPr>
        <w:t>Milton Keynes College Group (MKCG)</w:t>
      </w:r>
    </w:p>
    <w:p w14:paraId="2F3843CF" w14:textId="77777777" w:rsidR="0057555C" w:rsidRPr="0021393F" w:rsidRDefault="00655487" w:rsidP="0080575A">
      <w:pPr>
        <w:pStyle w:val="Heading2"/>
        <w:rPr>
          <w:rFonts w:ascii="Aptos" w:hAnsi="Aptos"/>
        </w:rPr>
      </w:pPr>
      <w:r w:rsidRPr="0021393F">
        <w:rPr>
          <w:rFonts w:ascii="Aptos" w:hAnsi="Aptos"/>
        </w:rPr>
        <w:t>1. What is an Access and Participation Plan?</w:t>
      </w:r>
    </w:p>
    <w:p w14:paraId="1793859C" w14:textId="6956544F" w:rsidR="0057555C" w:rsidRPr="0021393F" w:rsidRDefault="00655487" w:rsidP="0021393F">
      <w:pPr>
        <w:spacing w:after="120" w:line="240" w:lineRule="auto"/>
        <w:rPr>
          <w:rFonts w:ascii="Aptos" w:hAnsi="Aptos"/>
          <w:lang w:val="en-GB"/>
        </w:rPr>
      </w:pPr>
      <w:r w:rsidRPr="0021393F">
        <w:rPr>
          <w:rFonts w:ascii="Aptos" w:hAnsi="Aptos"/>
        </w:rPr>
        <w:t xml:space="preserve">An Access and Participation Plan (APP) </w:t>
      </w:r>
      <w:proofErr w:type="gramStart"/>
      <w:r w:rsidRPr="0021393F">
        <w:rPr>
          <w:rFonts w:ascii="Aptos" w:hAnsi="Aptos"/>
        </w:rPr>
        <w:t>sets</w:t>
      </w:r>
      <w:proofErr w:type="gramEnd"/>
      <w:r w:rsidRPr="0021393F">
        <w:rPr>
          <w:rFonts w:ascii="Aptos" w:hAnsi="Aptos"/>
        </w:rPr>
        <w:t xml:space="preserve"> out how Milton Keynes College will ensure that students from underrepresented or disadvantaged groups can access, succeed in, and progress from higher education.</w:t>
      </w:r>
      <w:r w:rsidR="0080575A" w:rsidRPr="0021393F">
        <w:rPr>
          <w:rFonts w:ascii="Aptos" w:hAnsi="Aptos"/>
        </w:rPr>
        <w:t xml:space="preserve">  </w:t>
      </w:r>
      <w:r w:rsidR="0080575A" w:rsidRPr="0021393F">
        <w:rPr>
          <w:rFonts w:ascii="Aptos" w:hAnsi="Aptos"/>
          <w:lang w:val="en-GB"/>
        </w:rPr>
        <w:t>It identifies risk factors affecting equality of opportunity, sets measurable targets, and outlines actions the College will take to reduce gaps in access and completion.</w:t>
      </w:r>
    </w:p>
    <w:p w14:paraId="11796287" w14:textId="77777777" w:rsidR="0057555C" w:rsidRPr="0021393F" w:rsidRDefault="00655487" w:rsidP="0080575A">
      <w:pPr>
        <w:pStyle w:val="Heading2"/>
        <w:rPr>
          <w:rFonts w:ascii="Aptos" w:hAnsi="Aptos"/>
        </w:rPr>
      </w:pPr>
      <w:r w:rsidRPr="0021393F">
        <w:rPr>
          <w:rFonts w:ascii="Aptos" w:hAnsi="Aptos"/>
        </w:rPr>
        <w:t>2. Key Points</w:t>
      </w:r>
    </w:p>
    <w:p w14:paraId="231EC829" w14:textId="645D6CB6" w:rsidR="0080575A" w:rsidRPr="0021393F" w:rsidRDefault="0080575A" w:rsidP="00443162">
      <w:pPr>
        <w:spacing w:after="120" w:line="240" w:lineRule="auto"/>
        <w:rPr>
          <w:rFonts w:ascii="Aptos" w:hAnsi="Aptos"/>
          <w:lang w:val="en-GB"/>
        </w:rPr>
      </w:pPr>
      <w:r w:rsidRPr="0021393F">
        <w:rPr>
          <w:rFonts w:ascii="Aptos" w:hAnsi="Aptos"/>
          <w:lang w:val="en-GB"/>
        </w:rPr>
        <w:t xml:space="preserve">The APP identifies two primary areas of focus: </w:t>
      </w:r>
    </w:p>
    <w:p w14:paraId="6EF19772" w14:textId="77777777" w:rsidR="0080575A" w:rsidRPr="0021393F" w:rsidRDefault="0080575A" w:rsidP="0021393F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rPr>
          <w:rFonts w:ascii="Aptos" w:hAnsi="Aptos"/>
          <w:lang w:val="en-GB"/>
        </w:rPr>
      </w:pPr>
      <w:r w:rsidRPr="00443162">
        <w:rPr>
          <w:rFonts w:ascii="Aptos" w:hAnsi="Aptos"/>
          <w:lang w:val="en-GB"/>
        </w:rPr>
        <w:t>Access</w:t>
      </w:r>
      <w:r w:rsidRPr="0021393F">
        <w:rPr>
          <w:rFonts w:ascii="Aptos" w:hAnsi="Aptos"/>
          <w:lang w:val="en-GB"/>
        </w:rPr>
        <w:t>: Improving applications from minority ethnic groups and learners from areas of deprivation.</w:t>
      </w:r>
    </w:p>
    <w:p w14:paraId="454BE65A" w14:textId="77777777" w:rsidR="0080575A" w:rsidRPr="0080575A" w:rsidRDefault="0080575A" w:rsidP="0080575A">
      <w:pPr>
        <w:numPr>
          <w:ilvl w:val="0"/>
          <w:numId w:val="10"/>
        </w:numPr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Completion: Reducing gaps in completion rates for the same groups.</w:t>
      </w:r>
    </w:p>
    <w:p w14:paraId="0BD0E0F1" w14:textId="0571E719" w:rsidR="0080575A" w:rsidRPr="0080575A" w:rsidRDefault="0080575A" w:rsidP="0021393F">
      <w:pPr>
        <w:spacing w:after="120" w:line="240" w:lineRule="auto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 xml:space="preserve">Current gaps are significant: </w:t>
      </w:r>
    </w:p>
    <w:p w14:paraId="675233A6" w14:textId="0AB5FBD7" w:rsidR="0080575A" w:rsidRPr="0080575A" w:rsidRDefault="0080575A" w:rsidP="0021393F">
      <w:pPr>
        <w:numPr>
          <w:ilvl w:val="0"/>
          <w:numId w:val="11"/>
        </w:numPr>
        <w:spacing w:after="120" w:line="240" w:lineRule="auto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 xml:space="preserve">Completion gap between minority ethnic learners and White British learners: </w:t>
      </w:r>
      <w:r w:rsidRPr="0021393F">
        <w:rPr>
          <w:rFonts w:ascii="Aptos" w:hAnsi="Aptos"/>
          <w:b/>
          <w:bCs/>
          <w:lang w:val="en-GB"/>
        </w:rPr>
        <w:t xml:space="preserve"> is </w:t>
      </w:r>
      <w:r w:rsidRPr="0080575A">
        <w:rPr>
          <w:rFonts w:ascii="Aptos" w:hAnsi="Aptos"/>
          <w:b/>
          <w:bCs/>
          <w:lang w:val="en-GB"/>
        </w:rPr>
        <w:t>29.9%</w:t>
      </w:r>
      <w:r w:rsidRPr="0080575A">
        <w:rPr>
          <w:rFonts w:ascii="Aptos" w:hAnsi="Aptos"/>
          <w:lang w:val="en-GB"/>
        </w:rPr>
        <w:t xml:space="preserve"> (aim to reduce to 6%).</w:t>
      </w:r>
    </w:p>
    <w:p w14:paraId="579446B0" w14:textId="47B4F727" w:rsidR="0080575A" w:rsidRPr="0080575A" w:rsidRDefault="0080575A" w:rsidP="0021393F">
      <w:pPr>
        <w:numPr>
          <w:ilvl w:val="0"/>
          <w:numId w:val="11"/>
        </w:numPr>
        <w:spacing w:after="120" w:line="240" w:lineRule="auto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Access gap between IMD Quintile 1 and Quintile 5 learners</w:t>
      </w:r>
      <w:r w:rsidRPr="0021393F">
        <w:rPr>
          <w:rFonts w:ascii="Aptos" w:hAnsi="Aptos"/>
          <w:lang w:val="en-GB"/>
        </w:rPr>
        <w:t xml:space="preserve"> is </w:t>
      </w:r>
      <w:r w:rsidRPr="0080575A">
        <w:rPr>
          <w:rFonts w:ascii="Aptos" w:hAnsi="Aptos"/>
          <w:b/>
          <w:bCs/>
          <w:lang w:val="en-GB"/>
        </w:rPr>
        <w:t>22%</w:t>
      </w:r>
      <w:r w:rsidRPr="0080575A">
        <w:rPr>
          <w:rFonts w:ascii="Aptos" w:hAnsi="Aptos"/>
          <w:lang w:val="en-GB"/>
        </w:rPr>
        <w:t>, target to reduce to 3%.</w:t>
      </w:r>
    </w:p>
    <w:p w14:paraId="6E68B08A" w14:textId="6E640AB5" w:rsidR="0080575A" w:rsidRPr="0080575A" w:rsidRDefault="0080575A" w:rsidP="0021393F">
      <w:pPr>
        <w:spacing w:after="120" w:line="240" w:lineRule="auto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A whole</w:t>
      </w:r>
      <w:r w:rsidRPr="0080575A">
        <w:rPr>
          <w:rFonts w:ascii="Aptos" w:hAnsi="Aptos"/>
          <w:lang w:val="en-GB"/>
        </w:rPr>
        <w:noBreakHyphen/>
        <w:t>college approach is used, aligned with MKCG’s “Building Fairer Futures” strategy.</w:t>
      </w:r>
    </w:p>
    <w:p w14:paraId="0D6C2F3E" w14:textId="77777777" w:rsidR="0057555C" w:rsidRPr="0021393F" w:rsidRDefault="00655487" w:rsidP="0080575A">
      <w:pPr>
        <w:pStyle w:val="Heading2"/>
        <w:rPr>
          <w:rFonts w:ascii="Aptos" w:hAnsi="Aptos"/>
        </w:rPr>
      </w:pPr>
      <w:r w:rsidRPr="0021393F">
        <w:rPr>
          <w:rFonts w:ascii="Aptos" w:hAnsi="Aptos"/>
        </w:rPr>
        <w:t>3. Fees Charged</w:t>
      </w:r>
    </w:p>
    <w:p w14:paraId="4CF74C90" w14:textId="1866BDBF" w:rsidR="0080575A" w:rsidRPr="0080575A" w:rsidRDefault="0080575A" w:rsidP="0021393F">
      <w:pPr>
        <w:spacing w:after="120" w:line="240" w:lineRule="auto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 xml:space="preserve">Tuition fees are published annually on the College website and within the HE Terms and Conditions. </w:t>
      </w:r>
      <w:r w:rsidRPr="0021393F">
        <w:rPr>
          <w:rFonts w:ascii="Aptos" w:hAnsi="Aptos"/>
          <w:lang w:val="en-GB"/>
        </w:rPr>
        <w:t xml:space="preserve"> </w:t>
      </w:r>
      <w:r w:rsidRPr="0080575A">
        <w:rPr>
          <w:rFonts w:ascii="Aptos" w:hAnsi="Aptos"/>
          <w:lang w:val="en-GB"/>
        </w:rPr>
        <w:t xml:space="preserve">All HE applicants are briefed on fees during interviews, application stages, and induction processes. </w:t>
      </w:r>
      <w:r w:rsidRPr="0021393F">
        <w:rPr>
          <w:rFonts w:ascii="Aptos" w:hAnsi="Aptos"/>
          <w:lang w:val="en-GB"/>
        </w:rPr>
        <w:t xml:space="preserve"> </w:t>
      </w:r>
      <w:r w:rsidRPr="0080575A">
        <w:rPr>
          <w:rFonts w:ascii="Aptos" w:hAnsi="Aptos"/>
          <w:lang w:val="en-GB"/>
        </w:rPr>
        <w:t>Fees are consistent with Student Finance England (SFE) funding rules.</w:t>
      </w:r>
    </w:p>
    <w:p w14:paraId="590A8C36" w14:textId="77777777" w:rsidR="0057555C" w:rsidRPr="0021393F" w:rsidRDefault="00655487" w:rsidP="0080575A">
      <w:pPr>
        <w:pStyle w:val="Heading2"/>
        <w:rPr>
          <w:rFonts w:ascii="Aptos" w:hAnsi="Aptos"/>
        </w:rPr>
      </w:pPr>
      <w:r w:rsidRPr="0021393F">
        <w:rPr>
          <w:rFonts w:ascii="Aptos" w:hAnsi="Aptos"/>
        </w:rPr>
        <w:t>4. Financial Help Available</w:t>
      </w:r>
    </w:p>
    <w:p w14:paraId="5577ACD5" w14:textId="77777777" w:rsidR="0080575A" w:rsidRPr="0021393F" w:rsidRDefault="0080575A" w:rsidP="0080575A">
      <w:pPr>
        <w:pStyle w:val="Heading3"/>
        <w:rPr>
          <w:rFonts w:ascii="Aptos" w:hAnsi="Aptos"/>
          <w:lang w:val="en-GB"/>
        </w:rPr>
      </w:pPr>
      <w:r w:rsidRPr="0021393F">
        <w:rPr>
          <w:rFonts w:ascii="Aptos" w:hAnsi="Aptos"/>
          <w:lang w:val="en-GB"/>
        </w:rPr>
        <w:t>HE – APP Student Grant</w:t>
      </w:r>
    </w:p>
    <w:p w14:paraId="6B2E51C6" w14:textId="77777777" w:rsidR="0080575A" w:rsidRPr="0080575A" w:rsidRDefault="0080575A" w:rsidP="0021393F">
      <w:pPr>
        <w:numPr>
          <w:ilvl w:val="0"/>
          <w:numId w:val="12"/>
        </w:numPr>
        <w:spacing w:after="12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£500 per academic year (two instalments).</w:t>
      </w:r>
    </w:p>
    <w:p w14:paraId="4B145E73" w14:textId="60ED2E5B" w:rsidR="0080575A" w:rsidRPr="0080575A" w:rsidRDefault="0021393F" w:rsidP="0021393F">
      <w:pPr>
        <w:numPr>
          <w:ilvl w:val="0"/>
          <w:numId w:val="12"/>
        </w:numPr>
        <w:spacing w:after="120" w:line="240" w:lineRule="auto"/>
        <w:ind w:left="714" w:hanging="357"/>
        <w:rPr>
          <w:rFonts w:ascii="Aptos" w:hAnsi="Aptos"/>
          <w:lang w:val="en-GB"/>
        </w:rPr>
      </w:pPr>
      <w:r w:rsidRPr="0021393F">
        <w:rPr>
          <w:rFonts w:ascii="Aptos" w:hAnsi="Aptos"/>
          <w:lang w:val="en-GB"/>
        </w:rPr>
        <w:t xml:space="preserve">Eligibility:  </w:t>
      </w:r>
      <w:r w:rsidR="0080575A" w:rsidRPr="0080575A">
        <w:rPr>
          <w:rFonts w:ascii="Aptos" w:hAnsi="Aptos"/>
          <w:lang w:val="en-GB"/>
        </w:rPr>
        <w:t>External applicants with household income under £35,000;</w:t>
      </w:r>
      <w:r w:rsidRPr="0021393F">
        <w:rPr>
          <w:rFonts w:ascii="Aptos" w:hAnsi="Aptos"/>
          <w:lang w:val="en-GB"/>
        </w:rPr>
        <w:t xml:space="preserve"> </w:t>
      </w:r>
      <w:r w:rsidR="0080575A" w:rsidRPr="0080575A">
        <w:rPr>
          <w:rFonts w:ascii="Aptos" w:hAnsi="Aptos"/>
          <w:lang w:val="en-GB"/>
        </w:rPr>
        <w:t>Applicants from target ethnic minority groups.</w:t>
      </w:r>
    </w:p>
    <w:p w14:paraId="0CFDF245" w14:textId="77777777" w:rsidR="0080575A" w:rsidRPr="0021393F" w:rsidRDefault="0080575A" w:rsidP="0080575A">
      <w:pPr>
        <w:pStyle w:val="Heading3"/>
        <w:rPr>
          <w:rFonts w:ascii="Aptos" w:hAnsi="Aptos"/>
          <w:lang w:val="en-GB"/>
        </w:rPr>
      </w:pPr>
      <w:r w:rsidRPr="0021393F">
        <w:rPr>
          <w:rFonts w:ascii="Aptos" w:hAnsi="Aptos"/>
          <w:lang w:val="en-GB"/>
        </w:rPr>
        <w:t>HE Discretionary Support Fund</w:t>
      </w:r>
    </w:p>
    <w:p w14:paraId="0543F06D" w14:textId="620517D2" w:rsidR="0080575A" w:rsidRPr="0080575A" w:rsidRDefault="0080575A" w:rsidP="0021393F">
      <w:pPr>
        <w:numPr>
          <w:ilvl w:val="0"/>
          <w:numId w:val="13"/>
        </w:numPr>
        <w:spacing w:after="12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Maximum £600 cash or support via transport/meal allowance</w:t>
      </w:r>
      <w:r w:rsidR="0021393F" w:rsidRPr="0021393F">
        <w:rPr>
          <w:rFonts w:ascii="Aptos" w:hAnsi="Aptos"/>
          <w:lang w:val="en-GB"/>
        </w:rPr>
        <w:t xml:space="preserve"> (one claim per year)</w:t>
      </w:r>
    </w:p>
    <w:p w14:paraId="1D4E6D07" w14:textId="262F7FD1" w:rsidR="0080575A" w:rsidRPr="0080575A" w:rsidRDefault="0021393F" w:rsidP="0021393F">
      <w:pPr>
        <w:numPr>
          <w:ilvl w:val="0"/>
          <w:numId w:val="13"/>
        </w:numPr>
        <w:spacing w:after="120" w:line="240" w:lineRule="auto"/>
        <w:ind w:left="714" w:hanging="357"/>
        <w:rPr>
          <w:rFonts w:ascii="Aptos" w:hAnsi="Aptos"/>
          <w:lang w:val="en-GB"/>
        </w:rPr>
      </w:pPr>
      <w:r w:rsidRPr="0021393F">
        <w:rPr>
          <w:rFonts w:ascii="Aptos" w:hAnsi="Aptos"/>
          <w:lang w:val="en-GB"/>
        </w:rPr>
        <w:t xml:space="preserve">Eligibility:  </w:t>
      </w:r>
      <w:r w:rsidR="0080575A" w:rsidRPr="0080575A">
        <w:rPr>
          <w:rFonts w:ascii="Aptos" w:hAnsi="Aptos"/>
          <w:lang w:val="en-GB"/>
        </w:rPr>
        <w:t>demonst</w:t>
      </w:r>
      <w:r w:rsidRPr="0021393F">
        <w:rPr>
          <w:rFonts w:ascii="Aptos" w:hAnsi="Aptos"/>
          <w:lang w:val="en-GB"/>
        </w:rPr>
        <w:t xml:space="preserve">ration of </w:t>
      </w:r>
      <w:r w:rsidR="0080575A" w:rsidRPr="0080575A">
        <w:rPr>
          <w:rFonts w:ascii="Aptos" w:hAnsi="Aptos"/>
          <w:lang w:val="en-GB"/>
        </w:rPr>
        <w:t>financial hardship and be enrolled/attending with SFE support.</w:t>
      </w:r>
    </w:p>
    <w:p w14:paraId="64B95F29" w14:textId="77777777" w:rsidR="0080575A" w:rsidRPr="0021393F" w:rsidRDefault="0080575A" w:rsidP="0080575A">
      <w:pPr>
        <w:pStyle w:val="Heading3"/>
        <w:rPr>
          <w:rFonts w:ascii="Aptos" w:hAnsi="Aptos"/>
          <w:lang w:val="en-GB"/>
        </w:rPr>
      </w:pPr>
      <w:r w:rsidRPr="0021393F">
        <w:rPr>
          <w:rFonts w:ascii="Aptos" w:hAnsi="Aptos"/>
          <w:lang w:val="en-GB"/>
        </w:rPr>
        <w:lastRenderedPageBreak/>
        <w:t>Continuation Bursary (internal progression)</w:t>
      </w:r>
    </w:p>
    <w:p w14:paraId="36849BE2" w14:textId="77777777" w:rsidR="0080575A" w:rsidRPr="0080575A" w:rsidRDefault="0080575A" w:rsidP="0021393F">
      <w:pPr>
        <w:numPr>
          <w:ilvl w:val="0"/>
          <w:numId w:val="14"/>
        </w:numPr>
        <w:spacing w:after="12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£500 for learners progressing from Level 3 at MK College to HE in the following year.</w:t>
      </w:r>
    </w:p>
    <w:p w14:paraId="2F1CC591" w14:textId="3FA90333" w:rsidR="0057555C" w:rsidRPr="0021393F" w:rsidRDefault="0021393F" w:rsidP="0080575A">
      <w:pPr>
        <w:pStyle w:val="Heading2"/>
        <w:rPr>
          <w:rFonts w:ascii="Aptos" w:hAnsi="Aptos"/>
        </w:rPr>
      </w:pPr>
      <w:r w:rsidRPr="0021393F">
        <w:rPr>
          <w:rFonts w:ascii="Aptos" w:hAnsi="Aptos"/>
        </w:rPr>
        <w:t>5. What the provider is aiming to achieve</w:t>
      </w:r>
    </w:p>
    <w:p w14:paraId="57D64550" w14:textId="77777777" w:rsidR="0080575A" w:rsidRPr="0080575A" w:rsidRDefault="0080575A" w:rsidP="0021393F">
      <w:pPr>
        <w:numPr>
          <w:ilvl w:val="0"/>
          <w:numId w:val="16"/>
        </w:numPr>
        <w:spacing w:after="120" w:line="240" w:lineRule="auto"/>
        <w:ind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 xml:space="preserve">Improve Access: </w:t>
      </w:r>
    </w:p>
    <w:p w14:paraId="522E044C" w14:textId="0124BEF2" w:rsidR="0080575A" w:rsidRPr="0080575A" w:rsidRDefault="0080575A" w:rsidP="0021393F">
      <w:pPr>
        <w:numPr>
          <w:ilvl w:val="1"/>
          <w:numId w:val="16"/>
        </w:numPr>
        <w:spacing w:after="120" w:line="240" w:lineRule="auto"/>
        <w:ind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Increase minority ethnic participation to align with the local population.</w:t>
      </w:r>
    </w:p>
    <w:p w14:paraId="4A67C993" w14:textId="77777777" w:rsidR="0080575A" w:rsidRPr="0080575A" w:rsidRDefault="0080575A" w:rsidP="0021393F">
      <w:pPr>
        <w:numPr>
          <w:ilvl w:val="1"/>
          <w:numId w:val="16"/>
        </w:numPr>
        <w:spacing w:after="120" w:line="240" w:lineRule="auto"/>
        <w:ind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Reduce the IMD Quintile 1 access gap to 3%.</w:t>
      </w:r>
    </w:p>
    <w:p w14:paraId="0AACF0CF" w14:textId="77777777" w:rsidR="0080575A" w:rsidRPr="0080575A" w:rsidRDefault="0080575A" w:rsidP="0021393F">
      <w:pPr>
        <w:numPr>
          <w:ilvl w:val="0"/>
          <w:numId w:val="16"/>
        </w:numPr>
        <w:spacing w:after="120" w:line="240" w:lineRule="auto"/>
        <w:ind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 xml:space="preserve">Improve Completion: </w:t>
      </w:r>
    </w:p>
    <w:p w14:paraId="279EF7F6" w14:textId="79BDF239" w:rsidR="0080575A" w:rsidRPr="0080575A" w:rsidRDefault="0080575A" w:rsidP="0021393F">
      <w:pPr>
        <w:numPr>
          <w:ilvl w:val="1"/>
          <w:numId w:val="16"/>
        </w:numPr>
        <w:spacing w:after="120" w:line="240" w:lineRule="auto"/>
        <w:ind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Reduce completion gap for minority ethnic learners to 3–6%.</w:t>
      </w:r>
    </w:p>
    <w:p w14:paraId="121CEFAF" w14:textId="77777777" w:rsidR="0080575A" w:rsidRPr="00443162" w:rsidRDefault="0080575A" w:rsidP="0021393F">
      <w:pPr>
        <w:numPr>
          <w:ilvl w:val="1"/>
          <w:numId w:val="16"/>
        </w:numPr>
        <w:spacing w:after="120" w:line="240" w:lineRule="auto"/>
        <w:ind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 xml:space="preserve">Reduce completion gap for IMD Q1–2 learners from to &lt;6%. </w:t>
      </w:r>
    </w:p>
    <w:p w14:paraId="1D905767" w14:textId="0DA871A8" w:rsidR="0080575A" w:rsidRPr="0080575A" w:rsidRDefault="0080575A" w:rsidP="0021393F">
      <w:pPr>
        <w:numPr>
          <w:ilvl w:val="1"/>
          <w:numId w:val="16"/>
        </w:numPr>
        <w:spacing w:after="120" w:line="240" w:lineRule="auto"/>
        <w:ind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These ambitions aim to close long</w:t>
      </w:r>
      <w:r w:rsidRPr="0080575A">
        <w:rPr>
          <w:rFonts w:ascii="Aptos" w:hAnsi="Aptos"/>
          <w:lang w:val="en-GB"/>
        </w:rPr>
        <w:noBreakHyphen/>
        <w:t>standing disparities while keeping targets realistic for a small HE provider.</w:t>
      </w:r>
    </w:p>
    <w:p w14:paraId="4B3E02F2" w14:textId="7C36884D" w:rsidR="0057555C" w:rsidRPr="0021393F" w:rsidRDefault="0021393F" w:rsidP="0080575A">
      <w:pPr>
        <w:pStyle w:val="Heading2"/>
        <w:rPr>
          <w:rFonts w:ascii="Aptos" w:hAnsi="Aptos"/>
        </w:rPr>
      </w:pPr>
      <w:r w:rsidRPr="0021393F">
        <w:rPr>
          <w:rFonts w:ascii="Aptos" w:hAnsi="Aptos"/>
        </w:rPr>
        <w:t>6. What the provider is doing to address key risks to equality of opportunity</w:t>
      </w:r>
    </w:p>
    <w:p w14:paraId="6472C156" w14:textId="77777777" w:rsidR="0080575A" w:rsidRPr="0021393F" w:rsidRDefault="0080575A" w:rsidP="0021393F">
      <w:pPr>
        <w:pStyle w:val="Heading3"/>
        <w:rPr>
          <w:rFonts w:ascii="Aptos" w:hAnsi="Aptos"/>
          <w:lang w:val="en-GB"/>
        </w:rPr>
      </w:pPr>
      <w:r w:rsidRPr="0021393F">
        <w:rPr>
          <w:rFonts w:ascii="Aptos" w:hAnsi="Aptos"/>
          <w:lang w:val="en-GB"/>
        </w:rPr>
        <w:t>Addressing Access Risks (Knowledge, Guidance, Perceptions, Course Choice)</w:t>
      </w:r>
    </w:p>
    <w:p w14:paraId="216FDDFB" w14:textId="77777777" w:rsidR="0080575A" w:rsidRPr="0080575A" w:rsidRDefault="0080575A" w:rsidP="00443162">
      <w:pPr>
        <w:numPr>
          <w:ilvl w:val="0"/>
          <w:numId w:val="17"/>
        </w:numPr>
        <w:spacing w:after="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Creating a mentoring programme for Level 3 learners to build confidence and HE awareness.</w:t>
      </w:r>
    </w:p>
    <w:p w14:paraId="5BA3A293" w14:textId="77777777" w:rsidR="0080575A" w:rsidRPr="0080575A" w:rsidRDefault="0080575A" w:rsidP="00443162">
      <w:pPr>
        <w:numPr>
          <w:ilvl w:val="0"/>
          <w:numId w:val="17"/>
        </w:numPr>
        <w:spacing w:after="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Improving internal FE</w:t>
      </w:r>
      <w:r w:rsidRPr="0080575A">
        <w:rPr>
          <w:rFonts w:ascii="Aptos" w:hAnsi="Aptos"/>
          <w:lang w:val="en-GB"/>
        </w:rPr>
        <w:noBreakHyphen/>
        <w:t>to</w:t>
      </w:r>
      <w:r w:rsidRPr="0080575A">
        <w:rPr>
          <w:rFonts w:ascii="Aptos" w:hAnsi="Aptos"/>
          <w:lang w:val="en-GB"/>
        </w:rPr>
        <w:noBreakHyphen/>
        <w:t>HE progression messages and staff training.</w:t>
      </w:r>
    </w:p>
    <w:p w14:paraId="2FA0CAAE" w14:textId="77777777" w:rsidR="0080575A" w:rsidRPr="0080575A" w:rsidRDefault="0080575A" w:rsidP="00443162">
      <w:pPr>
        <w:numPr>
          <w:ilvl w:val="0"/>
          <w:numId w:val="17"/>
        </w:numPr>
        <w:spacing w:after="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Expanding outreach and targeted marketing to schools with higher proportions of minority ethnic and disadvantaged students.</w:t>
      </w:r>
    </w:p>
    <w:p w14:paraId="468C308E" w14:textId="3C23A330" w:rsidR="0080575A" w:rsidRPr="0080575A" w:rsidRDefault="0080575A" w:rsidP="0021393F">
      <w:pPr>
        <w:numPr>
          <w:ilvl w:val="0"/>
          <w:numId w:val="17"/>
        </w:numPr>
        <w:spacing w:after="120" w:line="240" w:lineRule="auto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Raising awareness of financial support to address cost</w:t>
      </w:r>
      <w:r w:rsidRPr="0080575A">
        <w:rPr>
          <w:rFonts w:ascii="Aptos" w:hAnsi="Aptos"/>
          <w:lang w:val="en-GB"/>
        </w:rPr>
        <w:noBreakHyphen/>
        <w:t xml:space="preserve">related barriers. </w:t>
      </w:r>
    </w:p>
    <w:p w14:paraId="0B2F8C09" w14:textId="77777777" w:rsidR="0080575A" w:rsidRPr="0021393F" w:rsidRDefault="0080575A" w:rsidP="0021393F">
      <w:pPr>
        <w:pStyle w:val="Heading3"/>
        <w:rPr>
          <w:rFonts w:ascii="Aptos" w:hAnsi="Aptos"/>
          <w:lang w:val="en-GB"/>
        </w:rPr>
      </w:pPr>
      <w:r w:rsidRPr="0021393F">
        <w:rPr>
          <w:rFonts w:ascii="Aptos" w:hAnsi="Aptos"/>
          <w:lang w:val="en-GB"/>
        </w:rPr>
        <w:t>Addressing Completion Risks (Academic Support, Personal Support, Mental Health)</w:t>
      </w:r>
    </w:p>
    <w:p w14:paraId="3A1BDD95" w14:textId="5AA5647B" w:rsidR="0080575A" w:rsidRPr="0080575A" w:rsidRDefault="0080575A" w:rsidP="00443162">
      <w:pPr>
        <w:numPr>
          <w:ilvl w:val="0"/>
          <w:numId w:val="18"/>
        </w:numPr>
        <w:spacing w:after="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 xml:space="preserve">Appointing a dedicated HE Progress Mentor with expertise in academic needs, </w:t>
      </w:r>
      <w:r w:rsidRPr="00443162">
        <w:rPr>
          <w:rFonts w:ascii="Aptos" w:hAnsi="Aptos"/>
          <w:lang w:val="en-GB"/>
        </w:rPr>
        <w:t xml:space="preserve">and </w:t>
      </w:r>
      <w:r w:rsidRPr="0080575A">
        <w:rPr>
          <w:rFonts w:ascii="Aptos" w:hAnsi="Aptos"/>
          <w:lang w:val="en-GB"/>
        </w:rPr>
        <w:t>wellbeing support</w:t>
      </w:r>
      <w:r w:rsidRPr="00443162">
        <w:rPr>
          <w:rFonts w:ascii="Aptos" w:hAnsi="Aptos"/>
          <w:lang w:val="en-GB"/>
        </w:rPr>
        <w:t>.</w:t>
      </w:r>
    </w:p>
    <w:p w14:paraId="5A106C54" w14:textId="77777777" w:rsidR="0080575A" w:rsidRPr="0080575A" w:rsidRDefault="0080575A" w:rsidP="00443162">
      <w:pPr>
        <w:numPr>
          <w:ilvl w:val="0"/>
          <w:numId w:val="18"/>
        </w:numPr>
        <w:spacing w:after="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Standardising academic/pastoral tutorial support across all HE programmes.</w:t>
      </w:r>
    </w:p>
    <w:p w14:paraId="4318AC21" w14:textId="77777777" w:rsidR="0080575A" w:rsidRPr="0080575A" w:rsidRDefault="0080575A" w:rsidP="00443162">
      <w:pPr>
        <w:numPr>
          <w:ilvl w:val="0"/>
          <w:numId w:val="18"/>
        </w:numPr>
        <w:spacing w:after="0" w:line="240" w:lineRule="auto"/>
        <w:ind w:left="714" w:hanging="357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>Improving promotion of wellbeing services and destigmatising help</w:t>
      </w:r>
      <w:r w:rsidRPr="0080575A">
        <w:rPr>
          <w:rFonts w:ascii="Aptos" w:hAnsi="Aptos"/>
          <w:lang w:val="en-GB"/>
        </w:rPr>
        <w:noBreakHyphen/>
        <w:t>seeking.</w:t>
      </w:r>
    </w:p>
    <w:p w14:paraId="2490511F" w14:textId="3E3844D3" w:rsidR="0080575A" w:rsidRPr="0080575A" w:rsidRDefault="0080575A" w:rsidP="0021393F">
      <w:pPr>
        <w:numPr>
          <w:ilvl w:val="0"/>
          <w:numId w:val="18"/>
        </w:numPr>
        <w:spacing w:after="120" w:line="240" w:lineRule="auto"/>
        <w:rPr>
          <w:rFonts w:ascii="Aptos" w:hAnsi="Aptos"/>
          <w:lang w:val="en-GB"/>
        </w:rPr>
      </w:pPr>
      <w:r w:rsidRPr="0080575A">
        <w:rPr>
          <w:rFonts w:ascii="Aptos" w:hAnsi="Aptos"/>
          <w:lang w:val="en-GB"/>
        </w:rPr>
        <w:t xml:space="preserve">Upskilling wellbeing staff to better support adult and HE learners. </w:t>
      </w:r>
    </w:p>
    <w:p w14:paraId="6BB4E5C9" w14:textId="5628D752" w:rsidR="0057555C" w:rsidRPr="0021393F" w:rsidRDefault="0021393F" w:rsidP="0080575A">
      <w:pPr>
        <w:pStyle w:val="Heading2"/>
        <w:rPr>
          <w:rFonts w:ascii="Aptos" w:hAnsi="Aptos"/>
        </w:rPr>
      </w:pPr>
      <w:r w:rsidRPr="0021393F">
        <w:rPr>
          <w:rFonts w:ascii="Aptos" w:hAnsi="Aptos"/>
        </w:rPr>
        <w:t>7. How students can get involved</w:t>
      </w:r>
    </w:p>
    <w:p w14:paraId="0E94FD00" w14:textId="2F2B1113" w:rsidR="0080575A" w:rsidRPr="00443162" w:rsidRDefault="0080575A" w:rsidP="00443162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  <w:lang w:val="en-GB"/>
        </w:rPr>
      </w:pPr>
      <w:r w:rsidRPr="00443162">
        <w:rPr>
          <w:rFonts w:ascii="Aptos" w:hAnsi="Aptos"/>
          <w:lang w:val="en-GB"/>
        </w:rPr>
        <w:t xml:space="preserve">Participation through the HE Learner Forum, with representation across ages, modes of study, and ethnic backgrounds. </w:t>
      </w:r>
    </w:p>
    <w:p w14:paraId="04BA91C4" w14:textId="4CE66465" w:rsidR="0080575A" w:rsidRPr="00443162" w:rsidRDefault="0080575A" w:rsidP="00443162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/>
          <w:lang w:val="en-GB"/>
        </w:rPr>
      </w:pPr>
      <w:r w:rsidRPr="00443162">
        <w:rPr>
          <w:rFonts w:ascii="Aptos" w:hAnsi="Aptos"/>
          <w:lang w:val="en-GB"/>
        </w:rPr>
        <w:t xml:space="preserve">Student reps contribute to the design, delivery, and evaluation of interventions. </w:t>
      </w:r>
    </w:p>
    <w:p w14:paraId="5533DD57" w14:textId="73D0A2AE" w:rsidR="0057555C" w:rsidRPr="00443162" w:rsidRDefault="0080575A" w:rsidP="00443162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ptos" w:hAnsi="Aptos"/>
          <w:lang w:val="en-GB"/>
        </w:rPr>
      </w:pPr>
      <w:r w:rsidRPr="00443162">
        <w:rPr>
          <w:rFonts w:ascii="Aptos" w:hAnsi="Aptos"/>
          <w:lang w:val="en-GB"/>
        </w:rPr>
        <w:t xml:space="preserve">APP progress is discussed with student governors during </w:t>
      </w:r>
      <w:proofErr w:type="gramStart"/>
      <w:r w:rsidRPr="00443162">
        <w:rPr>
          <w:rFonts w:ascii="Aptos" w:hAnsi="Aptos"/>
          <w:lang w:val="en-GB"/>
        </w:rPr>
        <w:t>College</w:t>
      </w:r>
      <w:proofErr w:type="gramEnd"/>
      <w:r w:rsidRPr="00443162">
        <w:rPr>
          <w:rFonts w:ascii="Aptos" w:hAnsi="Aptos"/>
          <w:lang w:val="en-GB"/>
        </w:rPr>
        <w:t xml:space="preserve"> governance processes.</w:t>
      </w:r>
    </w:p>
    <w:p w14:paraId="41BF23D4" w14:textId="66D6BA8B" w:rsidR="0057555C" w:rsidRPr="0021393F" w:rsidRDefault="0021393F" w:rsidP="0080575A">
      <w:pPr>
        <w:pStyle w:val="Heading2"/>
        <w:rPr>
          <w:rFonts w:ascii="Aptos" w:hAnsi="Aptos"/>
        </w:rPr>
      </w:pPr>
      <w:r w:rsidRPr="0021393F">
        <w:rPr>
          <w:rFonts w:ascii="Aptos" w:hAnsi="Aptos"/>
        </w:rPr>
        <w:t>8. How the provider will measure what it has achieved</w:t>
      </w:r>
    </w:p>
    <w:p w14:paraId="5CCE51F5" w14:textId="461A9D7D" w:rsidR="0057555C" w:rsidRPr="0021393F" w:rsidRDefault="00655487" w:rsidP="00443162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Aptos" w:hAnsi="Aptos"/>
        </w:rPr>
      </w:pPr>
      <w:r w:rsidRPr="0021393F">
        <w:rPr>
          <w:rFonts w:ascii="Aptos" w:hAnsi="Aptos"/>
        </w:rPr>
        <w:t>Monitoring application, enrolment, continuation, and completion data.</w:t>
      </w:r>
    </w:p>
    <w:p w14:paraId="722B0AF4" w14:textId="7AC93FEB" w:rsidR="0057555C" w:rsidRPr="0021393F" w:rsidRDefault="00655487" w:rsidP="00443162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Aptos" w:hAnsi="Aptos"/>
        </w:rPr>
      </w:pPr>
      <w:r w:rsidRPr="0021393F">
        <w:rPr>
          <w:rFonts w:ascii="Aptos" w:hAnsi="Aptos"/>
        </w:rPr>
        <w:t>Surveys, attendance analysis, bursary impact tracking.</w:t>
      </w:r>
    </w:p>
    <w:p w14:paraId="3548B669" w14:textId="459D8DC0" w:rsidR="0057555C" w:rsidRPr="0021393F" w:rsidRDefault="00655487" w:rsidP="0021393F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21393F">
        <w:rPr>
          <w:rFonts w:ascii="Aptos" w:hAnsi="Aptos"/>
        </w:rPr>
        <w:t>Annual reporting via the HE Academic Board.</w:t>
      </w:r>
    </w:p>
    <w:sectPr w:rsidR="0057555C" w:rsidRPr="0021393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19C8" w14:textId="77777777" w:rsidR="00655487" w:rsidRDefault="00655487" w:rsidP="0021393F">
      <w:pPr>
        <w:spacing w:after="0" w:line="240" w:lineRule="auto"/>
      </w:pPr>
      <w:r>
        <w:separator/>
      </w:r>
    </w:p>
  </w:endnote>
  <w:endnote w:type="continuationSeparator" w:id="0">
    <w:p w14:paraId="513FD471" w14:textId="77777777" w:rsidR="00655487" w:rsidRDefault="00655487" w:rsidP="0021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A32B" w14:textId="77777777" w:rsidR="00655487" w:rsidRDefault="00655487" w:rsidP="0021393F">
      <w:pPr>
        <w:spacing w:after="0" w:line="240" w:lineRule="auto"/>
      </w:pPr>
      <w:r>
        <w:separator/>
      </w:r>
    </w:p>
  </w:footnote>
  <w:footnote w:type="continuationSeparator" w:id="0">
    <w:p w14:paraId="6A4CCAFA" w14:textId="77777777" w:rsidR="00655487" w:rsidRDefault="00655487" w:rsidP="0021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EE57" w14:textId="33A23479" w:rsidR="0021393F" w:rsidRDefault="002139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3D095" wp14:editId="53EB1E6B">
          <wp:simplePos x="0" y="0"/>
          <wp:positionH relativeFrom="margin">
            <wp:posOffset>4848225</wp:posOffset>
          </wp:positionH>
          <wp:positionV relativeFrom="margin">
            <wp:posOffset>-476250</wp:posOffset>
          </wp:positionV>
          <wp:extent cx="1297268" cy="1074057"/>
          <wp:effectExtent l="0" t="0" r="0" b="5715"/>
          <wp:wrapSquare wrapText="bothSides"/>
          <wp:docPr id="14495277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277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268" cy="1074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65BEC"/>
    <w:multiLevelType w:val="multilevel"/>
    <w:tmpl w:val="7C60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3024FA"/>
    <w:multiLevelType w:val="multilevel"/>
    <w:tmpl w:val="90DE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D1DD3"/>
    <w:multiLevelType w:val="multilevel"/>
    <w:tmpl w:val="BD4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77867"/>
    <w:multiLevelType w:val="multilevel"/>
    <w:tmpl w:val="BD4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52970"/>
    <w:multiLevelType w:val="multilevel"/>
    <w:tmpl w:val="BD4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DC6697"/>
    <w:multiLevelType w:val="multilevel"/>
    <w:tmpl w:val="BD4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51F2B"/>
    <w:multiLevelType w:val="multilevel"/>
    <w:tmpl w:val="D940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B4414"/>
    <w:multiLevelType w:val="multilevel"/>
    <w:tmpl w:val="BD4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52EB2"/>
    <w:multiLevelType w:val="multilevel"/>
    <w:tmpl w:val="BD40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17683"/>
    <w:multiLevelType w:val="multilevel"/>
    <w:tmpl w:val="A1EC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02DA8"/>
    <w:multiLevelType w:val="multilevel"/>
    <w:tmpl w:val="997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6513">
    <w:abstractNumId w:val="8"/>
  </w:num>
  <w:num w:numId="2" w16cid:durableId="1595629077">
    <w:abstractNumId w:val="6"/>
  </w:num>
  <w:num w:numId="3" w16cid:durableId="918750790">
    <w:abstractNumId w:val="5"/>
  </w:num>
  <w:num w:numId="4" w16cid:durableId="1163005066">
    <w:abstractNumId w:val="4"/>
  </w:num>
  <w:num w:numId="5" w16cid:durableId="683943180">
    <w:abstractNumId w:val="7"/>
  </w:num>
  <w:num w:numId="6" w16cid:durableId="1719817566">
    <w:abstractNumId w:val="3"/>
  </w:num>
  <w:num w:numId="7" w16cid:durableId="653142179">
    <w:abstractNumId w:val="2"/>
  </w:num>
  <w:num w:numId="8" w16cid:durableId="748648965">
    <w:abstractNumId w:val="1"/>
  </w:num>
  <w:num w:numId="9" w16cid:durableId="381057824">
    <w:abstractNumId w:val="0"/>
  </w:num>
  <w:num w:numId="10" w16cid:durableId="442918838">
    <w:abstractNumId w:val="9"/>
  </w:num>
  <w:num w:numId="11" w16cid:durableId="1472357832">
    <w:abstractNumId w:val="18"/>
  </w:num>
  <w:num w:numId="12" w16cid:durableId="628513197">
    <w:abstractNumId w:val="19"/>
  </w:num>
  <w:num w:numId="13" w16cid:durableId="360477770">
    <w:abstractNumId w:val="10"/>
  </w:num>
  <w:num w:numId="14" w16cid:durableId="1822308471">
    <w:abstractNumId w:val="11"/>
  </w:num>
  <w:num w:numId="15" w16cid:durableId="2056350832">
    <w:abstractNumId w:val="16"/>
  </w:num>
  <w:num w:numId="16" w16cid:durableId="1795516780">
    <w:abstractNumId w:val="15"/>
  </w:num>
  <w:num w:numId="17" w16cid:durableId="1345132241">
    <w:abstractNumId w:val="12"/>
  </w:num>
  <w:num w:numId="18" w16cid:durableId="200634056">
    <w:abstractNumId w:val="17"/>
  </w:num>
  <w:num w:numId="19" w16cid:durableId="364865653">
    <w:abstractNumId w:val="13"/>
  </w:num>
  <w:num w:numId="20" w16cid:durableId="771976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393F"/>
    <w:rsid w:val="0029639D"/>
    <w:rsid w:val="00326F90"/>
    <w:rsid w:val="00443162"/>
    <w:rsid w:val="0057555C"/>
    <w:rsid w:val="005A597A"/>
    <w:rsid w:val="00655487"/>
    <w:rsid w:val="00766447"/>
    <w:rsid w:val="007A7DED"/>
    <w:rsid w:val="0080575A"/>
    <w:rsid w:val="008610CB"/>
    <w:rsid w:val="00AA1D8D"/>
    <w:rsid w:val="00B47730"/>
    <w:rsid w:val="00BF3295"/>
    <w:rsid w:val="00CB0664"/>
    <w:rsid w:val="00ED0C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75563"/>
  <w14:defaultImageDpi w14:val="300"/>
  <w15:docId w15:val="{4325AB63-E83D-44E3-A30F-1D785527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057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Black</cp:lastModifiedBy>
  <cp:revision>2</cp:revision>
  <dcterms:created xsi:type="dcterms:W3CDTF">2026-02-25T09:10:00Z</dcterms:created>
  <dcterms:modified xsi:type="dcterms:W3CDTF">2026-02-25T09:10:00Z</dcterms:modified>
  <cp:category/>
</cp:coreProperties>
</file>